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6A0B" w14:textId="77777777" w:rsidR="00036077" w:rsidRPr="001E60AA" w:rsidRDefault="00036077" w:rsidP="00036077">
      <w:pPr>
        <w:ind w:left="1418" w:firstLine="0"/>
        <w:jc w:val="left"/>
        <w:rPr>
          <w:rFonts w:ascii="Cambria" w:hAnsi="Cambria"/>
          <w:iCs/>
          <w:color w:val="000000" w:themeColor="text1"/>
          <w:sz w:val="24"/>
        </w:rPr>
      </w:pPr>
      <w:bookmarkStart w:id="0" w:name="_Hlk132719581"/>
      <w:r w:rsidRPr="001E60AA">
        <w:rPr>
          <w:rFonts w:ascii="Cambria" w:hAnsi="Cambria"/>
          <w:bCs/>
          <w:noProof/>
          <w:color w:val="000000" w:themeColor="text1"/>
          <w:sz w:val="24"/>
          <w:lang w:val="en-US" w:eastAsia="en-US"/>
        </w:rPr>
        <w:drawing>
          <wp:anchor distT="0" distB="0" distL="114300" distR="114300" simplePos="0" relativeHeight="251659264" behindDoc="0" locked="0" layoutInCell="1" allowOverlap="1" wp14:anchorId="44E4366B" wp14:editId="02088C54">
            <wp:simplePos x="0" y="0"/>
            <wp:positionH relativeFrom="margin">
              <wp:posOffset>89854</wp:posOffset>
            </wp:positionH>
            <wp:positionV relativeFrom="paragraph">
              <wp:posOffset>5286</wp:posOffset>
            </wp:positionV>
            <wp:extent cx="554983" cy="77697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ver e jurnal ha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8741" cy="782237"/>
                    </a:xfrm>
                    <a:prstGeom prst="rect">
                      <a:avLst/>
                    </a:prstGeom>
                  </pic:spPr>
                </pic:pic>
              </a:graphicData>
            </a:graphic>
            <wp14:sizeRelH relativeFrom="margin">
              <wp14:pctWidth>0</wp14:pctWidth>
            </wp14:sizeRelH>
            <wp14:sizeRelV relativeFrom="margin">
              <wp14:pctHeight>0</wp14:pctHeight>
            </wp14:sizeRelV>
          </wp:anchor>
        </w:drawing>
      </w:r>
      <w:r w:rsidRPr="001E60AA">
        <w:rPr>
          <w:rFonts w:ascii="Cambria" w:hAnsi="Cambria"/>
          <w:bCs/>
          <w:color w:val="000000" w:themeColor="text1"/>
          <w:sz w:val="24"/>
        </w:rPr>
        <w:t>Jurnal Pertahanan</w:t>
      </w:r>
      <w:r w:rsidRPr="001E60AA">
        <w:rPr>
          <w:rFonts w:ascii="Cambria" w:hAnsi="Cambria"/>
          <w:bCs/>
          <w:color w:val="000000" w:themeColor="text1"/>
          <w:sz w:val="24"/>
          <w:lang w:val="en-US"/>
        </w:rPr>
        <w:t>:</w:t>
      </w:r>
      <w:r w:rsidRPr="001E60AA">
        <w:rPr>
          <w:rFonts w:ascii="Cambria" w:hAnsi="Cambria"/>
          <w:b/>
          <w:color w:val="000000" w:themeColor="text1"/>
          <w:sz w:val="24"/>
          <w:lang w:val="en-US"/>
        </w:rPr>
        <w:t xml:space="preserve"> </w:t>
      </w:r>
      <w:r w:rsidRPr="001E60AA">
        <w:rPr>
          <w:rFonts w:ascii="Cambria" w:hAnsi="Cambria"/>
          <w:color w:val="000000" w:themeColor="text1"/>
          <w:sz w:val="24"/>
        </w:rPr>
        <w:t>Media Informasi tentang Kajian dan Strategi</w:t>
      </w:r>
      <w:r w:rsidRPr="001E60AA">
        <w:rPr>
          <w:rFonts w:ascii="Cambria" w:hAnsi="Cambria"/>
          <w:color w:val="000000" w:themeColor="text1"/>
          <w:sz w:val="24"/>
          <w:lang w:val="en-US"/>
        </w:rPr>
        <w:t xml:space="preserve"> </w:t>
      </w:r>
      <w:r w:rsidRPr="001E60AA">
        <w:rPr>
          <w:rFonts w:ascii="Cambria" w:hAnsi="Cambria"/>
          <w:color w:val="000000" w:themeColor="text1"/>
          <w:sz w:val="24"/>
        </w:rPr>
        <w:t>Pertahanan</w:t>
      </w:r>
      <w:r w:rsidRPr="001E60AA">
        <w:rPr>
          <w:rFonts w:ascii="Cambria" w:hAnsi="Cambria"/>
          <w:color w:val="000000" w:themeColor="text1"/>
          <w:sz w:val="24"/>
          <w:lang w:val="en-US"/>
        </w:rPr>
        <w:t xml:space="preserve"> </w:t>
      </w:r>
      <w:r w:rsidRPr="001E60AA">
        <w:rPr>
          <w:rFonts w:ascii="Cambria" w:hAnsi="Cambria"/>
          <w:color w:val="000000" w:themeColor="text1"/>
          <w:sz w:val="24"/>
        </w:rPr>
        <w:t xml:space="preserve">yang Mengedepankan </w:t>
      </w:r>
      <w:r w:rsidRPr="001E60AA">
        <w:rPr>
          <w:rFonts w:ascii="Cambria" w:hAnsi="Cambria"/>
          <w:iCs/>
          <w:color w:val="000000" w:themeColor="text1"/>
          <w:sz w:val="24"/>
        </w:rPr>
        <w:t>Identity, Na</w:t>
      </w:r>
      <w:r w:rsidRPr="001E60AA">
        <w:rPr>
          <w:rFonts w:ascii="Cambria" w:hAnsi="Cambria"/>
          <w:iCs/>
          <w:color w:val="000000" w:themeColor="text1"/>
          <w:sz w:val="24"/>
          <w:lang w:val="en-US"/>
        </w:rPr>
        <w:t>s</w:t>
      </w:r>
      <w:r w:rsidRPr="001E60AA">
        <w:rPr>
          <w:rFonts w:ascii="Cambria" w:hAnsi="Cambria"/>
          <w:iCs/>
          <w:color w:val="000000" w:themeColor="text1"/>
          <w:sz w:val="24"/>
        </w:rPr>
        <w:t>ionalism</w:t>
      </w:r>
      <w:r w:rsidRPr="001E60AA">
        <w:rPr>
          <w:rFonts w:ascii="Cambria" w:hAnsi="Cambria"/>
          <w:iCs/>
          <w:color w:val="000000" w:themeColor="text1"/>
          <w:sz w:val="24"/>
          <w:lang w:val="en-AU"/>
        </w:rPr>
        <w:t xml:space="preserve"> dan</w:t>
      </w:r>
      <w:r w:rsidRPr="001E60AA">
        <w:rPr>
          <w:rFonts w:ascii="Cambria" w:hAnsi="Cambria"/>
          <w:iCs/>
          <w:color w:val="000000" w:themeColor="text1"/>
          <w:sz w:val="24"/>
        </w:rPr>
        <w:t xml:space="preserve"> Integrity</w:t>
      </w:r>
    </w:p>
    <w:p w14:paraId="3C9A0D4D" w14:textId="77777777" w:rsidR="00036077" w:rsidRPr="001E60AA" w:rsidRDefault="00036077" w:rsidP="00036077">
      <w:pPr>
        <w:ind w:left="1418" w:firstLine="0"/>
        <w:jc w:val="left"/>
        <w:rPr>
          <w:rFonts w:ascii="Cambria" w:hAnsi="Cambria"/>
          <w:iCs/>
          <w:color w:val="000000" w:themeColor="text1"/>
          <w:sz w:val="24"/>
          <w:lang w:val="en-US"/>
        </w:rPr>
      </w:pPr>
      <w:r w:rsidRPr="001E60AA">
        <w:rPr>
          <w:rFonts w:ascii="Cambria" w:hAnsi="Cambria"/>
          <w:iCs/>
          <w:color w:val="000000" w:themeColor="text1"/>
          <w:sz w:val="24"/>
          <w:lang w:val="en-US"/>
        </w:rPr>
        <w:t>Vol. X No. X (YEAR) pp.XX-XX</w:t>
      </w:r>
    </w:p>
    <w:p w14:paraId="7CFD0CA0" w14:textId="77777777" w:rsidR="00036077" w:rsidRPr="001E60AA" w:rsidRDefault="00036077" w:rsidP="00036077">
      <w:pPr>
        <w:pBdr>
          <w:bottom w:val="single" w:sz="4" w:space="8" w:color="auto"/>
        </w:pBdr>
        <w:ind w:firstLine="1418"/>
        <w:jc w:val="left"/>
        <w:rPr>
          <w:rFonts w:ascii="Cambria" w:hAnsi="Cambria"/>
          <w:color w:val="000000" w:themeColor="text1"/>
          <w:szCs w:val="22"/>
        </w:rPr>
      </w:pPr>
      <w:hyperlink r:id="rId5" w:history="1">
        <w:r w:rsidRPr="001E60AA">
          <w:rPr>
            <w:rStyle w:val="Hyperlink"/>
            <w:rFonts w:ascii="Cambria" w:hAnsi="Cambria"/>
            <w:color w:val="000000" w:themeColor="text1"/>
            <w:szCs w:val="22"/>
          </w:rPr>
          <w:t>http</w:t>
        </w:r>
        <w:r w:rsidRPr="001E60AA">
          <w:rPr>
            <w:rStyle w:val="Hyperlink"/>
            <w:rFonts w:ascii="Cambria" w:hAnsi="Cambria"/>
            <w:color w:val="000000" w:themeColor="text1"/>
            <w:szCs w:val="22"/>
            <w:lang w:val="en-US"/>
          </w:rPr>
          <w:t>s</w:t>
        </w:r>
        <w:r w:rsidRPr="001E60AA">
          <w:rPr>
            <w:rStyle w:val="Hyperlink"/>
            <w:rFonts w:ascii="Cambria" w:hAnsi="Cambria"/>
            <w:color w:val="000000" w:themeColor="text1"/>
            <w:szCs w:val="22"/>
          </w:rPr>
          <w:t>://jurnal.idu.ac.id/index.php/DefenseJournal</w:t>
        </w:r>
      </w:hyperlink>
    </w:p>
    <w:bookmarkEnd w:id="0"/>
    <w:p w14:paraId="12DA452C" w14:textId="77777777" w:rsidR="00036077" w:rsidRPr="001E60AA" w:rsidRDefault="00036077" w:rsidP="00036077">
      <w:pPr>
        <w:pStyle w:val="IEEEAuthorName"/>
        <w:spacing w:before="0" w:after="0"/>
        <w:jc w:val="left"/>
        <w:rPr>
          <w:rFonts w:ascii="Cambria" w:eastAsia="SimSun" w:hAnsi="Cambria"/>
          <w:b/>
          <w:color w:val="000000" w:themeColor="text1"/>
          <w:sz w:val="28"/>
          <w:szCs w:val="28"/>
          <w:lang w:val="id-ID" w:eastAsia="en-US"/>
        </w:rPr>
      </w:pPr>
    </w:p>
    <w:p w14:paraId="5A9C63F4" w14:textId="619C870B" w:rsidR="00036077" w:rsidRPr="001E60AA" w:rsidRDefault="00036077" w:rsidP="00036077">
      <w:pPr>
        <w:pStyle w:val="IEEEAuthorName"/>
        <w:spacing w:before="0" w:after="0"/>
        <w:jc w:val="left"/>
        <w:rPr>
          <w:rFonts w:ascii="Cambria" w:eastAsia="SimSun" w:hAnsi="Cambria"/>
          <w:b/>
          <w:color w:val="000000" w:themeColor="text1"/>
          <w:sz w:val="28"/>
          <w:szCs w:val="28"/>
          <w:lang w:val="en-US" w:eastAsia="en-US"/>
        </w:rPr>
      </w:pPr>
      <w:r w:rsidRPr="00036077">
        <w:rPr>
          <w:rFonts w:ascii="Cambria" w:eastAsia="SimSun" w:hAnsi="Cambria"/>
          <w:b/>
          <w:color w:val="000000" w:themeColor="text1"/>
          <w:sz w:val="28"/>
          <w:szCs w:val="28"/>
          <w:lang w:val="en-US" w:eastAsia="en-US"/>
        </w:rPr>
        <w:t>Religious Organizations in the Practice of Total People’s Defense: Muhammadiyah’s Strategy in Responding to the COVID-19 Pandemic</w:t>
      </w:r>
    </w:p>
    <w:p w14:paraId="3CB35F9B" w14:textId="77777777" w:rsidR="00036077" w:rsidRPr="001E60AA" w:rsidRDefault="00036077" w:rsidP="00036077">
      <w:pPr>
        <w:jc w:val="left"/>
        <w:rPr>
          <w:rFonts w:ascii="Cambria" w:hAnsi="Cambria"/>
          <w:color w:val="000000" w:themeColor="text1"/>
          <w:lang w:eastAsia="en-US"/>
        </w:rPr>
      </w:pPr>
    </w:p>
    <w:p w14:paraId="4867A097" w14:textId="77777777" w:rsidR="00036077" w:rsidRPr="001E60AA" w:rsidRDefault="00036077" w:rsidP="00036077">
      <w:pPr>
        <w:pStyle w:val="IEEEAuthorAffiliation"/>
        <w:spacing w:after="0"/>
        <w:jc w:val="left"/>
        <w:rPr>
          <w:rFonts w:ascii="Cambria" w:hAnsi="Cambria"/>
          <w:b/>
          <w:i w:val="0"/>
          <w:iCs/>
          <w:color w:val="000000" w:themeColor="text1"/>
          <w:sz w:val="24"/>
          <w:lang w:val="en-AU"/>
        </w:rPr>
      </w:pPr>
      <w:r w:rsidRPr="001E60AA">
        <w:rPr>
          <w:rFonts w:ascii="Cambria" w:hAnsi="Cambria"/>
          <w:b/>
          <w:i w:val="0"/>
          <w:iCs/>
          <w:color w:val="000000" w:themeColor="text1"/>
          <w:sz w:val="24"/>
          <w:lang w:val="en-AU"/>
        </w:rPr>
        <w:t>Fajar Riza Ul Haq</w:t>
      </w:r>
      <w:r w:rsidRPr="001E60AA">
        <w:rPr>
          <w:rFonts w:ascii="Cambria" w:hAnsi="Cambria"/>
          <w:b/>
          <w:i w:val="0"/>
          <w:iCs/>
          <w:color w:val="000000" w:themeColor="text1"/>
          <w:sz w:val="24"/>
          <w:vertAlign w:val="superscript"/>
          <w:lang w:val="en-AU"/>
        </w:rPr>
        <w:t>1</w:t>
      </w:r>
    </w:p>
    <w:p w14:paraId="4A888E2E" w14:textId="18DD6538" w:rsidR="00036077" w:rsidRPr="001E60AA" w:rsidRDefault="00036077" w:rsidP="00036077">
      <w:pPr>
        <w:ind w:firstLine="0"/>
        <w:jc w:val="left"/>
        <w:rPr>
          <w:rFonts w:ascii="Cambria" w:hAnsi="Cambria"/>
          <w:color w:val="000000" w:themeColor="text1"/>
          <w:lang w:val="en-AU" w:eastAsia="en-GB"/>
        </w:rPr>
      </w:pPr>
      <w:r w:rsidRPr="001E60AA">
        <w:rPr>
          <w:rFonts w:ascii="Cambria" w:hAnsi="Cambria"/>
          <w:color w:val="000000" w:themeColor="text1"/>
          <w:vertAlign w:val="superscript"/>
          <w:lang w:val="en-AU" w:eastAsia="en-GB"/>
        </w:rPr>
        <w:t>1</w:t>
      </w:r>
      <w:r w:rsidRPr="00036077">
        <w:rPr>
          <w:rFonts w:ascii="Cambria" w:hAnsi="Cambria"/>
          <w:color w:val="000000" w:themeColor="text1"/>
          <w:lang w:val="en-AU" w:eastAsia="en-GB"/>
        </w:rPr>
        <w:t>Chairperson of the Center for Strategic Studies, Central Board of Muhammadiyah</w:t>
      </w:r>
      <w:r>
        <w:rPr>
          <w:rFonts w:ascii="Cambria" w:hAnsi="Cambria"/>
          <w:color w:val="000000" w:themeColor="text1"/>
          <w:lang w:val="en-AU" w:eastAsia="en-GB"/>
        </w:rPr>
        <w:t xml:space="preserve"> </w:t>
      </w:r>
    </w:p>
    <w:p w14:paraId="73C365EE" w14:textId="23977F35" w:rsidR="00036077" w:rsidRPr="001E60AA" w:rsidRDefault="00036077" w:rsidP="00036077">
      <w:pPr>
        <w:ind w:firstLine="0"/>
        <w:jc w:val="left"/>
        <w:rPr>
          <w:rFonts w:ascii="Cambria" w:hAnsi="Cambria"/>
          <w:color w:val="000000" w:themeColor="text1"/>
          <w:lang w:val="en-AU" w:eastAsia="en-GB"/>
        </w:rPr>
      </w:pPr>
      <w:r w:rsidRPr="001E60AA">
        <w:rPr>
          <w:rFonts w:ascii="Cambria" w:hAnsi="Cambria"/>
          <w:color w:val="000000" w:themeColor="text1"/>
          <w:lang w:val="en-AU" w:eastAsia="en-GB"/>
        </w:rPr>
        <w:t>*</w:t>
      </w:r>
      <w:r w:rsidR="0015065D" w:rsidRPr="0015065D">
        <w:t xml:space="preserve"> </w:t>
      </w:r>
      <w:r w:rsidR="0015065D" w:rsidRPr="0015065D">
        <w:rPr>
          <w:rFonts w:ascii="Cambria" w:hAnsi="Cambria"/>
          <w:color w:val="000000" w:themeColor="text1"/>
          <w:lang w:val="en-AU" w:eastAsia="en-GB"/>
        </w:rPr>
        <w:t>fajarizaulhaq@gmail.com</w:t>
      </w:r>
    </w:p>
    <w:p w14:paraId="2A2A58E4" w14:textId="77777777" w:rsidR="00036077" w:rsidRPr="001E60AA" w:rsidRDefault="00036077" w:rsidP="00036077">
      <w:pPr>
        <w:ind w:firstLine="0"/>
        <w:jc w:val="left"/>
        <w:rPr>
          <w:rFonts w:ascii="Cambria" w:hAnsi="Cambria"/>
          <w:color w:val="000000" w:themeColor="text1"/>
          <w:lang w:val="en-AU" w:eastAsia="en-GB"/>
        </w:rPr>
      </w:pPr>
    </w:p>
    <w:tbl>
      <w:tblPr>
        <w:tblW w:w="5025" w:type="pct"/>
        <w:tblBorders>
          <w:top w:val="single" w:sz="4" w:space="0" w:color="auto"/>
          <w:bottom w:val="single" w:sz="4" w:space="0" w:color="auto"/>
        </w:tblBorders>
        <w:tblLayout w:type="fixed"/>
        <w:tblLook w:val="04A0" w:firstRow="1" w:lastRow="0" w:firstColumn="1" w:lastColumn="0" w:noHBand="0" w:noVBand="1"/>
      </w:tblPr>
      <w:tblGrid>
        <w:gridCol w:w="3262"/>
        <w:gridCol w:w="5810"/>
      </w:tblGrid>
      <w:tr w:rsidR="00036077" w:rsidRPr="001E60AA" w14:paraId="4712CF66" w14:textId="77777777" w:rsidTr="0072322C">
        <w:tc>
          <w:tcPr>
            <w:tcW w:w="1798" w:type="pct"/>
            <w:tcBorders>
              <w:top w:val="single" w:sz="4" w:space="0" w:color="auto"/>
              <w:left w:val="nil"/>
              <w:bottom w:val="single" w:sz="4" w:space="0" w:color="auto"/>
              <w:right w:val="nil"/>
            </w:tcBorders>
          </w:tcPr>
          <w:p w14:paraId="35A0FF5E" w14:textId="77777777" w:rsidR="00036077" w:rsidRPr="001E60AA" w:rsidRDefault="00036077" w:rsidP="0072322C">
            <w:pPr>
              <w:ind w:firstLine="0"/>
              <w:rPr>
                <w:rFonts w:ascii="Cambria" w:hAnsi="Cambria"/>
                <w:color w:val="000000" w:themeColor="text1"/>
                <w:szCs w:val="22"/>
                <w:lang w:val="en-US"/>
              </w:rPr>
            </w:pPr>
          </w:p>
          <w:p w14:paraId="7C717922" w14:textId="77777777" w:rsidR="00036077" w:rsidRPr="001E60AA" w:rsidRDefault="00036077" w:rsidP="0072322C">
            <w:pPr>
              <w:ind w:firstLine="0"/>
              <w:rPr>
                <w:rFonts w:ascii="Cambria" w:hAnsi="Cambria"/>
                <w:b/>
                <w:color w:val="000000" w:themeColor="text1"/>
                <w:szCs w:val="22"/>
                <w:lang w:val="en-US"/>
              </w:rPr>
            </w:pPr>
            <w:r w:rsidRPr="001E60AA">
              <w:rPr>
                <w:rFonts w:ascii="Cambria" w:hAnsi="Cambria"/>
                <w:b/>
                <w:color w:val="000000" w:themeColor="text1"/>
                <w:szCs w:val="22"/>
                <w:lang w:val="en-US"/>
              </w:rPr>
              <w:t>Article Info</w:t>
            </w:r>
          </w:p>
          <w:p w14:paraId="28411234" w14:textId="77777777" w:rsidR="00036077" w:rsidRPr="001E60AA" w:rsidRDefault="00036077" w:rsidP="0072322C">
            <w:pPr>
              <w:ind w:firstLine="0"/>
              <w:rPr>
                <w:rFonts w:ascii="Cambria" w:hAnsi="Cambria"/>
                <w:color w:val="000000" w:themeColor="text1"/>
                <w:szCs w:val="22"/>
                <w:lang w:val="en-US"/>
              </w:rPr>
            </w:pPr>
          </w:p>
          <w:p w14:paraId="63640A50" w14:textId="77777777" w:rsidR="00036077" w:rsidRPr="001E60AA" w:rsidRDefault="00036077" w:rsidP="0072322C">
            <w:pPr>
              <w:pStyle w:val="Els-history-head"/>
              <w:spacing w:line="240" w:lineRule="auto"/>
              <w:rPr>
                <w:rFonts w:ascii="Cambria" w:hAnsi="Cambria"/>
                <w:b/>
                <w:i w:val="0"/>
                <w:color w:val="000000" w:themeColor="text1"/>
                <w:sz w:val="22"/>
                <w:szCs w:val="22"/>
              </w:rPr>
            </w:pPr>
            <w:r w:rsidRPr="001E60AA">
              <w:rPr>
                <w:rFonts w:ascii="Cambria" w:hAnsi="Cambria"/>
                <w:b/>
                <w:i w:val="0"/>
                <w:color w:val="000000" w:themeColor="text1"/>
                <w:sz w:val="22"/>
                <w:szCs w:val="22"/>
              </w:rPr>
              <w:t xml:space="preserve">Article history: </w:t>
            </w:r>
          </w:p>
          <w:p w14:paraId="0FEC8C76" w14:textId="77777777" w:rsidR="00036077" w:rsidRPr="001E60AA" w:rsidRDefault="00036077" w:rsidP="0072322C">
            <w:pPr>
              <w:pBdr>
                <w:top w:val="single" w:sz="4" w:space="1" w:color="auto"/>
              </w:pBdr>
              <w:tabs>
                <w:tab w:val="left" w:pos="1029"/>
              </w:tabs>
              <w:ind w:left="885" w:hanging="885"/>
              <w:jc w:val="left"/>
              <w:rPr>
                <w:rFonts w:ascii="Cambria" w:eastAsia="SimSun" w:hAnsi="Cambria"/>
                <w:noProof/>
                <w:color w:val="000000" w:themeColor="text1"/>
                <w:szCs w:val="22"/>
                <w:lang w:val="en-US" w:eastAsia="en-US"/>
              </w:rPr>
            </w:pPr>
            <w:r w:rsidRPr="001E60AA">
              <w:rPr>
                <w:rFonts w:ascii="Cambria" w:eastAsia="SimSun" w:hAnsi="Cambria"/>
                <w:noProof/>
                <w:color w:val="000000" w:themeColor="text1"/>
                <w:szCs w:val="22"/>
                <w:lang w:val="en-US" w:eastAsia="en-US"/>
              </w:rPr>
              <w:t>Received : Month Date, Year</w:t>
            </w:r>
          </w:p>
          <w:p w14:paraId="00D545D7" w14:textId="77777777" w:rsidR="00036077" w:rsidRPr="001E60AA" w:rsidRDefault="00036077" w:rsidP="0072322C">
            <w:pPr>
              <w:pBdr>
                <w:top w:val="single" w:sz="4" w:space="1" w:color="auto"/>
              </w:pBdr>
              <w:tabs>
                <w:tab w:val="left" w:pos="1029"/>
              </w:tabs>
              <w:ind w:left="885" w:hanging="885"/>
              <w:jc w:val="left"/>
              <w:rPr>
                <w:rFonts w:ascii="Cambria" w:eastAsia="SimSun" w:hAnsi="Cambria"/>
                <w:noProof/>
                <w:color w:val="000000" w:themeColor="text1"/>
                <w:szCs w:val="22"/>
                <w:lang w:val="en-US" w:eastAsia="en-US"/>
              </w:rPr>
            </w:pPr>
            <w:r w:rsidRPr="001E60AA">
              <w:rPr>
                <w:rFonts w:ascii="Cambria" w:eastAsia="SimSun" w:hAnsi="Cambria"/>
                <w:noProof/>
                <w:color w:val="000000" w:themeColor="text1"/>
                <w:szCs w:val="22"/>
                <w:lang w:val="en-US" w:eastAsia="en-US"/>
              </w:rPr>
              <w:t xml:space="preserve">Revised   : Month Date, Year </w:t>
            </w:r>
          </w:p>
          <w:p w14:paraId="10E4FAB6" w14:textId="77777777" w:rsidR="00036077" w:rsidRPr="001E60AA" w:rsidRDefault="00036077" w:rsidP="0072322C">
            <w:pPr>
              <w:pBdr>
                <w:top w:val="single" w:sz="4" w:space="1" w:color="auto"/>
              </w:pBdr>
              <w:tabs>
                <w:tab w:val="left" w:pos="1029"/>
              </w:tabs>
              <w:ind w:left="885" w:hanging="885"/>
              <w:jc w:val="left"/>
              <w:rPr>
                <w:rFonts w:ascii="Cambria" w:eastAsia="SimSun" w:hAnsi="Cambria"/>
                <w:noProof/>
                <w:color w:val="000000" w:themeColor="text1"/>
                <w:szCs w:val="22"/>
                <w:lang w:val="en-US" w:eastAsia="en-US"/>
              </w:rPr>
            </w:pPr>
            <w:r w:rsidRPr="001E60AA">
              <w:rPr>
                <w:rFonts w:ascii="Cambria" w:eastAsia="SimSun" w:hAnsi="Cambria"/>
                <w:noProof/>
                <w:color w:val="000000" w:themeColor="text1"/>
                <w:szCs w:val="22"/>
                <w:lang w:val="en-US" w:eastAsia="en-US"/>
              </w:rPr>
              <w:t xml:space="preserve">Accepted : Month Date, Year </w:t>
            </w:r>
          </w:p>
          <w:p w14:paraId="3B72D509" w14:textId="77777777" w:rsidR="00036077" w:rsidRPr="001E60AA" w:rsidRDefault="00036077" w:rsidP="0072322C">
            <w:pPr>
              <w:pStyle w:val="Els-history"/>
              <w:spacing w:line="240" w:lineRule="auto"/>
              <w:rPr>
                <w:rFonts w:ascii="Cambria" w:hAnsi="Cambria"/>
                <w:i/>
                <w:color w:val="000000" w:themeColor="text1"/>
                <w:sz w:val="22"/>
                <w:szCs w:val="22"/>
                <w:lang w:val="id-ID"/>
              </w:rPr>
            </w:pPr>
          </w:p>
          <w:p w14:paraId="3F639319" w14:textId="77777777" w:rsidR="00036077" w:rsidRPr="001E60AA" w:rsidRDefault="00036077" w:rsidP="0072322C">
            <w:pPr>
              <w:rPr>
                <w:rFonts w:ascii="Cambria" w:hAnsi="Cambria"/>
                <w:i/>
                <w:color w:val="000000" w:themeColor="text1"/>
                <w:szCs w:val="22"/>
                <w:lang w:val="en-US"/>
              </w:rPr>
            </w:pPr>
          </w:p>
          <w:p w14:paraId="6A0EF98D" w14:textId="77777777" w:rsidR="00036077" w:rsidRPr="001E60AA" w:rsidRDefault="00036077" w:rsidP="0072322C">
            <w:pPr>
              <w:pStyle w:val="Els-keywords"/>
              <w:spacing w:line="240" w:lineRule="auto"/>
              <w:rPr>
                <w:rFonts w:ascii="Cambria" w:hAnsi="Cambria"/>
                <w:color w:val="000000" w:themeColor="text1"/>
              </w:rPr>
            </w:pPr>
            <w:r w:rsidRPr="001E60AA">
              <w:rPr>
                <w:rFonts w:ascii="Cambria" w:hAnsi="Cambria"/>
                <w:color w:val="000000" w:themeColor="text1"/>
              </w:rPr>
              <w:t>Keywords:</w:t>
            </w:r>
          </w:p>
          <w:p w14:paraId="03AFA965" w14:textId="77777777" w:rsidR="008348A6" w:rsidRDefault="008348A6" w:rsidP="0072322C">
            <w:pPr>
              <w:ind w:firstLine="0"/>
              <w:rPr>
                <w:rFonts w:ascii="Cambria" w:hAnsi="Cambria"/>
                <w:color w:val="000000" w:themeColor="text1"/>
                <w:szCs w:val="22"/>
                <w:lang w:val="en-US"/>
              </w:rPr>
            </w:pPr>
            <w:r w:rsidRPr="008348A6">
              <w:rPr>
                <w:rFonts w:ascii="Cambria" w:hAnsi="Cambria"/>
                <w:color w:val="000000" w:themeColor="text1"/>
                <w:szCs w:val="22"/>
                <w:lang w:val="en-US"/>
              </w:rPr>
              <w:t>Civil Defense</w:t>
            </w:r>
            <w:r>
              <w:rPr>
                <w:rFonts w:ascii="Cambria" w:hAnsi="Cambria"/>
                <w:color w:val="000000" w:themeColor="text1"/>
                <w:szCs w:val="22"/>
                <w:lang w:val="en-US"/>
              </w:rPr>
              <w:t>;</w:t>
            </w:r>
          </w:p>
          <w:p w14:paraId="3249713D" w14:textId="77777777" w:rsidR="008348A6" w:rsidRDefault="008348A6" w:rsidP="0072322C">
            <w:pPr>
              <w:ind w:firstLine="0"/>
              <w:rPr>
                <w:rFonts w:ascii="Cambria" w:hAnsi="Cambria"/>
                <w:color w:val="000000" w:themeColor="text1"/>
                <w:szCs w:val="22"/>
                <w:lang w:val="en-US"/>
              </w:rPr>
            </w:pPr>
            <w:r>
              <w:rPr>
                <w:rFonts w:ascii="Cambria" w:hAnsi="Cambria"/>
                <w:color w:val="000000" w:themeColor="text1"/>
                <w:szCs w:val="22"/>
                <w:lang w:val="en-US"/>
              </w:rPr>
              <w:t>R</w:t>
            </w:r>
            <w:r w:rsidRPr="008348A6">
              <w:rPr>
                <w:rFonts w:ascii="Cambria" w:hAnsi="Cambria"/>
                <w:color w:val="000000" w:themeColor="text1"/>
                <w:szCs w:val="22"/>
                <w:lang w:val="en-US"/>
              </w:rPr>
              <w:t>eligious Organization</w:t>
            </w:r>
            <w:r>
              <w:rPr>
                <w:rFonts w:ascii="Cambria" w:hAnsi="Cambria"/>
                <w:color w:val="000000" w:themeColor="text1"/>
                <w:szCs w:val="22"/>
                <w:lang w:val="en-US"/>
              </w:rPr>
              <w:t>;</w:t>
            </w:r>
          </w:p>
          <w:p w14:paraId="05022E35" w14:textId="4689F771" w:rsidR="008348A6" w:rsidRPr="001E60AA" w:rsidRDefault="008348A6" w:rsidP="0072322C">
            <w:pPr>
              <w:ind w:firstLine="0"/>
              <w:rPr>
                <w:rFonts w:ascii="Cambria" w:hAnsi="Cambria"/>
                <w:color w:val="000000" w:themeColor="text1"/>
                <w:szCs w:val="22"/>
                <w:lang w:val="en-US"/>
              </w:rPr>
            </w:pPr>
            <w:r w:rsidRPr="00036077">
              <w:rPr>
                <w:rFonts w:ascii="Cambria" w:hAnsi="Cambria"/>
                <w:color w:val="000000" w:themeColor="text1"/>
                <w:szCs w:val="22"/>
                <w:lang w:val="en-US"/>
              </w:rPr>
              <w:t>SISHANTA</w:t>
            </w:r>
            <w:r>
              <w:rPr>
                <w:rFonts w:ascii="Cambria" w:hAnsi="Cambria"/>
                <w:color w:val="000000" w:themeColor="text1"/>
                <w:szCs w:val="22"/>
                <w:lang w:val="en-US"/>
              </w:rPr>
              <w:t>.</w:t>
            </w:r>
          </w:p>
          <w:p w14:paraId="3FB368AB" w14:textId="77777777" w:rsidR="008348A6" w:rsidRDefault="008348A6" w:rsidP="0072322C">
            <w:pPr>
              <w:ind w:firstLine="0"/>
              <w:rPr>
                <w:rFonts w:ascii="Cambria" w:hAnsi="Cambria"/>
                <w:color w:val="000000" w:themeColor="text1"/>
                <w:szCs w:val="22"/>
                <w:lang w:val="en-US"/>
              </w:rPr>
            </w:pPr>
            <w:r w:rsidRPr="00036077">
              <w:rPr>
                <w:rFonts w:ascii="Cambria" w:hAnsi="Cambria"/>
                <w:color w:val="000000" w:themeColor="text1"/>
                <w:szCs w:val="22"/>
                <w:lang w:val="en-US"/>
              </w:rPr>
              <w:t xml:space="preserve">Muhammadiyah; </w:t>
            </w:r>
          </w:p>
          <w:p w14:paraId="60C3318D" w14:textId="61468C50" w:rsidR="008348A6" w:rsidRDefault="008348A6" w:rsidP="0072322C">
            <w:pPr>
              <w:ind w:firstLine="0"/>
              <w:rPr>
                <w:rFonts w:ascii="Cambria" w:hAnsi="Cambria"/>
                <w:color w:val="000000" w:themeColor="text1"/>
                <w:szCs w:val="22"/>
                <w:lang w:val="en-US"/>
              </w:rPr>
            </w:pPr>
            <w:r w:rsidRPr="00036077">
              <w:rPr>
                <w:rFonts w:ascii="Cambria" w:hAnsi="Cambria"/>
                <w:color w:val="000000" w:themeColor="text1"/>
                <w:szCs w:val="22"/>
                <w:lang w:val="en-US"/>
              </w:rPr>
              <w:t>Pandemic</w:t>
            </w:r>
            <w:r w:rsidR="00417743">
              <w:rPr>
                <w:rFonts w:ascii="Cambria" w:hAnsi="Cambria"/>
                <w:color w:val="000000" w:themeColor="text1"/>
                <w:szCs w:val="22"/>
                <w:lang w:val="en-US"/>
              </w:rPr>
              <w:t xml:space="preserve">. </w:t>
            </w:r>
          </w:p>
          <w:p w14:paraId="03F0954E" w14:textId="77777777" w:rsidR="00036077" w:rsidRPr="001E60AA" w:rsidRDefault="00036077" w:rsidP="0072322C">
            <w:pPr>
              <w:ind w:firstLine="0"/>
              <w:rPr>
                <w:rFonts w:ascii="Cambria" w:hAnsi="Cambria"/>
                <w:color w:val="000000" w:themeColor="text1"/>
                <w:szCs w:val="22"/>
                <w:lang w:val="en-US"/>
              </w:rPr>
            </w:pPr>
          </w:p>
          <w:p w14:paraId="3F9C8B08" w14:textId="77777777" w:rsidR="00036077" w:rsidRPr="001E60AA" w:rsidRDefault="00036077" w:rsidP="0072322C">
            <w:pPr>
              <w:ind w:firstLine="0"/>
              <w:rPr>
                <w:rFonts w:ascii="Cambria" w:hAnsi="Cambria"/>
                <w:b/>
                <w:bCs/>
                <w:color w:val="000000" w:themeColor="text1"/>
                <w:szCs w:val="22"/>
                <w:lang w:val="en-US"/>
              </w:rPr>
            </w:pPr>
            <w:r w:rsidRPr="001E60AA">
              <w:rPr>
                <w:rFonts w:ascii="Cambria" w:hAnsi="Cambria"/>
                <w:b/>
                <w:bCs/>
                <w:color w:val="000000" w:themeColor="text1"/>
                <w:szCs w:val="22"/>
                <w:lang w:val="en-US"/>
              </w:rPr>
              <w:t>DOI:</w:t>
            </w:r>
          </w:p>
          <w:p w14:paraId="738E867F" w14:textId="137D63AA" w:rsidR="00036077" w:rsidRPr="001E60AA" w:rsidRDefault="00036077" w:rsidP="0072322C">
            <w:pPr>
              <w:ind w:firstLine="0"/>
              <w:rPr>
                <w:rFonts w:ascii="Cambria" w:hAnsi="Cambria"/>
                <w:color w:val="000000" w:themeColor="text1"/>
                <w:szCs w:val="22"/>
                <w:lang w:val="en-US"/>
              </w:rPr>
            </w:pPr>
          </w:p>
        </w:tc>
        <w:tc>
          <w:tcPr>
            <w:tcW w:w="3202" w:type="pct"/>
            <w:tcBorders>
              <w:top w:val="single" w:sz="4" w:space="0" w:color="auto"/>
              <w:left w:val="nil"/>
              <w:bottom w:val="single" w:sz="4" w:space="0" w:color="auto"/>
              <w:right w:val="nil"/>
            </w:tcBorders>
          </w:tcPr>
          <w:p w14:paraId="3DCAB91D" w14:textId="77777777" w:rsidR="00036077" w:rsidRPr="001E60AA" w:rsidRDefault="00036077" w:rsidP="0072322C">
            <w:pPr>
              <w:ind w:firstLine="0"/>
              <w:rPr>
                <w:rFonts w:ascii="Cambria" w:hAnsi="Cambria"/>
                <w:color w:val="000000" w:themeColor="text1"/>
                <w:szCs w:val="22"/>
                <w:lang w:val="en-US"/>
              </w:rPr>
            </w:pPr>
          </w:p>
          <w:p w14:paraId="252C547F" w14:textId="77777777" w:rsidR="00036077" w:rsidRPr="001E60AA" w:rsidRDefault="00036077" w:rsidP="0072322C">
            <w:pPr>
              <w:ind w:firstLine="0"/>
              <w:rPr>
                <w:rFonts w:ascii="Cambria" w:hAnsi="Cambria"/>
                <w:b/>
                <w:color w:val="000000" w:themeColor="text1"/>
                <w:szCs w:val="22"/>
                <w:lang w:val="en-US"/>
              </w:rPr>
            </w:pPr>
            <w:r w:rsidRPr="001E60AA">
              <w:rPr>
                <w:rFonts w:ascii="Cambria" w:hAnsi="Cambria"/>
                <w:b/>
                <w:color w:val="000000" w:themeColor="text1"/>
                <w:szCs w:val="22"/>
                <w:lang w:val="en-US"/>
              </w:rPr>
              <w:t>Abstract</w:t>
            </w:r>
          </w:p>
          <w:p w14:paraId="30B24023" w14:textId="77777777" w:rsidR="00036077" w:rsidRPr="001E60AA" w:rsidRDefault="00036077" w:rsidP="0072322C">
            <w:pPr>
              <w:ind w:firstLine="0"/>
              <w:rPr>
                <w:rFonts w:ascii="Cambria" w:hAnsi="Cambria"/>
                <w:color w:val="000000" w:themeColor="text1"/>
                <w:szCs w:val="22"/>
                <w:lang w:val="en-US"/>
              </w:rPr>
            </w:pPr>
          </w:p>
          <w:p w14:paraId="6F5F2454" w14:textId="78D30D8A" w:rsidR="002E1A88" w:rsidRDefault="00036077" w:rsidP="002E1A88">
            <w:pPr>
              <w:pStyle w:val="Els-history-head"/>
              <w:contextualSpacing/>
              <w:jc w:val="both"/>
              <w:rPr>
                <w:rFonts w:ascii="Cambria" w:hAnsi="Cambria"/>
                <w:i w:val="0"/>
                <w:iCs/>
                <w:color w:val="000000" w:themeColor="text1"/>
                <w:sz w:val="22"/>
                <w:szCs w:val="22"/>
              </w:rPr>
            </w:pPr>
            <w:r w:rsidRPr="00036077">
              <w:rPr>
                <w:rFonts w:ascii="Cambria" w:hAnsi="Cambria"/>
                <w:i w:val="0"/>
                <w:iCs/>
                <w:color w:val="000000" w:themeColor="text1"/>
                <w:sz w:val="22"/>
                <w:szCs w:val="22"/>
              </w:rPr>
              <w:t>The COVID-19 pandemic has transformed Indonesia’s national defense paradigm from a militaristic orientation to a model of total social defense based on community participation. This study aims to analyze how Muhammadiyah, as a religious organization in Indonesia, implemented the practice of Total People’s Defense (Sistem Pertahanan Semesta/SISHANTA) through civil society–based strategies during the pandemic crisis. Employing a qualitative case study approach, this research explores Muhammadiyah’s strategies and resource mobilization patterns through the Muhammadiyah COVID-19 Command Center (MCCC). Data were collected through document analysis, in-depth interviews, and field observations in three key regions: Yogyakarta, Jakarta, and West Sumatra</w:t>
            </w:r>
            <w:r w:rsidR="002E1A88">
              <w:t xml:space="preserve"> </w:t>
            </w:r>
            <w:r w:rsidR="002E1A88" w:rsidRPr="002E1A88">
              <w:rPr>
                <w:rFonts w:ascii="Cambria" w:hAnsi="Cambria"/>
                <w:i w:val="0"/>
                <w:iCs/>
                <w:color w:val="000000" w:themeColor="text1"/>
                <w:sz w:val="22"/>
                <w:szCs w:val="22"/>
              </w:rPr>
              <w:t>Findings show that Muhammadiyah operationalized three key pillars of defense: health (defense of life), education (defense of knowledge), and economy (defense of welfare). These dimensions illustrate a model of civil defense that integrates faith, science, and humanitarian action to strengthen national resilience</w:t>
            </w:r>
            <w:r w:rsidRPr="00036077">
              <w:rPr>
                <w:rFonts w:ascii="Cambria" w:hAnsi="Cambria"/>
                <w:i w:val="0"/>
                <w:iCs/>
                <w:color w:val="000000" w:themeColor="text1"/>
                <w:sz w:val="22"/>
                <w:szCs w:val="22"/>
              </w:rPr>
              <w:t xml:space="preserve">. </w:t>
            </w:r>
            <w:r w:rsidR="002E1A88" w:rsidRPr="002E1A88">
              <w:rPr>
                <w:rFonts w:ascii="Cambria" w:hAnsi="Cambria"/>
                <w:i w:val="0"/>
                <w:iCs/>
                <w:color w:val="000000" w:themeColor="text1"/>
                <w:sz w:val="22"/>
                <w:szCs w:val="22"/>
              </w:rPr>
              <w:t>Muhammadiyah’s experience illustrates that total defense can be realized through moral conviction, social solidarity, and institutional collaboration. Faith-based organizations serve not only as humanitarian agents but also as partners in safeguarding national stability and human security.</w:t>
            </w:r>
            <w:r w:rsidR="002E1A88">
              <w:rPr>
                <w:rFonts w:ascii="Cambria" w:hAnsi="Cambria"/>
                <w:i w:val="0"/>
                <w:iCs/>
                <w:color w:val="000000" w:themeColor="text1"/>
                <w:sz w:val="22"/>
                <w:szCs w:val="22"/>
              </w:rPr>
              <w:t xml:space="preserve"> </w:t>
            </w:r>
            <w:r w:rsidR="002E1A88" w:rsidRPr="002E1A88">
              <w:rPr>
                <w:rFonts w:ascii="Cambria" w:hAnsi="Cambria"/>
                <w:i w:val="0"/>
                <w:iCs/>
                <w:color w:val="000000" w:themeColor="text1"/>
                <w:sz w:val="22"/>
                <w:szCs w:val="22"/>
              </w:rPr>
              <w:t>The study suggests the need for stronger integration of civil and faith-based organizations into Indonesia’s national defense policy and the inclusion of civic and humanitarian values in educational curricula to cultivate resilience.</w:t>
            </w:r>
            <w:r w:rsidR="002E1A88">
              <w:rPr>
                <w:rFonts w:ascii="Cambria" w:hAnsi="Cambria"/>
                <w:i w:val="0"/>
                <w:iCs/>
                <w:color w:val="000000" w:themeColor="text1"/>
                <w:sz w:val="22"/>
                <w:szCs w:val="22"/>
              </w:rPr>
              <w:t xml:space="preserve"> </w:t>
            </w:r>
            <w:r w:rsidR="002E1A88" w:rsidRPr="002E1A88">
              <w:rPr>
                <w:rFonts w:ascii="Cambria" w:hAnsi="Cambria"/>
                <w:i w:val="0"/>
                <w:iCs/>
                <w:color w:val="000000" w:themeColor="text1"/>
                <w:sz w:val="22"/>
                <w:szCs w:val="22"/>
              </w:rPr>
              <w:t>This study focuses on a single case</w:t>
            </w:r>
            <w:r w:rsidR="002E1A88">
              <w:rPr>
                <w:rFonts w:ascii="Cambria" w:hAnsi="Cambria"/>
                <w:i w:val="0"/>
                <w:iCs/>
                <w:color w:val="000000" w:themeColor="text1"/>
                <w:sz w:val="22"/>
                <w:szCs w:val="22"/>
              </w:rPr>
              <w:t xml:space="preserve"> </w:t>
            </w:r>
            <w:r w:rsidR="002E1A88" w:rsidRPr="002E1A88">
              <w:rPr>
                <w:rFonts w:ascii="Cambria" w:hAnsi="Cambria"/>
                <w:i w:val="0"/>
                <w:iCs/>
                <w:color w:val="000000" w:themeColor="text1"/>
                <w:sz w:val="22"/>
                <w:szCs w:val="22"/>
              </w:rPr>
              <w:t>Muhammadiyah’s response in three regions during the 2020–2022 pandemic</w:t>
            </w:r>
            <w:r w:rsidR="002E1A88">
              <w:rPr>
                <w:rFonts w:ascii="Cambria" w:hAnsi="Cambria"/>
                <w:i w:val="0"/>
                <w:iCs/>
                <w:color w:val="000000" w:themeColor="text1"/>
                <w:sz w:val="22"/>
                <w:szCs w:val="22"/>
              </w:rPr>
              <w:t xml:space="preserve"> </w:t>
            </w:r>
            <w:r w:rsidR="002E1A88" w:rsidRPr="002E1A88">
              <w:rPr>
                <w:rFonts w:ascii="Cambria" w:hAnsi="Cambria"/>
                <w:i w:val="0"/>
                <w:iCs/>
                <w:color w:val="000000" w:themeColor="text1"/>
                <w:sz w:val="22"/>
                <w:szCs w:val="22"/>
              </w:rPr>
              <w:t>thus limiting generalization. Future research should adopt comparative approaches to explore broader models of civil-based defense in Indonesia.</w:t>
            </w:r>
          </w:p>
          <w:p w14:paraId="6D99F9D8" w14:textId="77777777" w:rsidR="00036077" w:rsidRPr="001E60AA" w:rsidRDefault="00036077" w:rsidP="00693A9E">
            <w:pPr>
              <w:pStyle w:val="Els-history-head"/>
              <w:contextualSpacing/>
              <w:jc w:val="both"/>
              <w:rPr>
                <w:rFonts w:ascii="Cambria" w:hAnsi="Cambria"/>
                <w:color w:val="000000" w:themeColor="text1"/>
                <w:szCs w:val="22"/>
              </w:rPr>
            </w:pPr>
          </w:p>
        </w:tc>
      </w:tr>
    </w:tbl>
    <w:p w14:paraId="37AB66AE" w14:textId="77777777" w:rsidR="00036077" w:rsidRPr="001E60AA" w:rsidRDefault="00036077" w:rsidP="00036077">
      <w:pPr>
        <w:ind w:firstLine="0"/>
        <w:rPr>
          <w:rFonts w:ascii="Cambria" w:hAnsi="Cambria"/>
          <w:color w:val="000000" w:themeColor="text1"/>
          <w:szCs w:val="22"/>
          <w:lang w:val="en-US"/>
        </w:rPr>
        <w:sectPr w:rsidR="00036077" w:rsidRPr="001E60AA" w:rsidSect="00036077">
          <w:headerReference w:type="even" r:id="rId6"/>
          <w:headerReference w:type="default" r:id="rId7"/>
          <w:footerReference w:type="even" r:id="rId8"/>
          <w:footerReference w:type="default" r:id="rId9"/>
          <w:footerReference w:type="first" r:id="rId10"/>
          <w:pgSz w:w="11907" w:h="16839" w:code="9"/>
          <w:pgMar w:top="1440" w:right="1440" w:bottom="1440" w:left="1440" w:header="720" w:footer="720" w:gutter="0"/>
          <w:cols w:space="720"/>
          <w:titlePg/>
          <w:docGrid w:linePitch="360"/>
        </w:sectPr>
      </w:pPr>
      <w:bookmarkStart w:id="1" w:name="_Hlk132720256"/>
      <w:r w:rsidRPr="001E60AA">
        <w:rPr>
          <w:rFonts w:ascii="Cambria" w:hAnsi="Cambria"/>
          <w:color w:val="000000" w:themeColor="text1"/>
          <w:szCs w:val="22"/>
          <w:lang w:val="en-US"/>
        </w:rPr>
        <w:t>2549-9459/Published by Indonesia Defense University</w:t>
      </w:r>
      <w:r w:rsidRPr="001E60AA">
        <w:rPr>
          <w:color w:val="000000" w:themeColor="text1"/>
          <w:sz w:val="20"/>
          <w:szCs w:val="22"/>
        </w:rPr>
        <w:t xml:space="preserve"> </w:t>
      </w:r>
      <w:r w:rsidRPr="001E60AA">
        <w:rPr>
          <w:rFonts w:ascii="Cambria" w:hAnsi="Cambria"/>
          <w:color w:val="000000" w:themeColor="text1"/>
          <w:szCs w:val="22"/>
          <w:lang w:val="en-US"/>
        </w:rPr>
        <w:t>This is an open-access article under the CC BY-NC license (</w:t>
      </w:r>
      <w:hyperlink r:id="rId11" w:history="1">
        <w:r w:rsidRPr="001E60AA">
          <w:rPr>
            <w:rStyle w:val="Hyperlink"/>
            <w:rFonts w:ascii="Cambria" w:hAnsi="Cambria"/>
            <w:color w:val="000000" w:themeColor="text1"/>
            <w:szCs w:val="22"/>
            <w:u w:val="none"/>
            <w:lang w:val="en-US"/>
          </w:rPr>
          <w:t>https://creativecommons.org/licenses/by-nc/4.0/)</w:t>
        </w:r>
      </w:hyperlink>
    </w:p>
    <w:bookmarkEnd w:id="1"/>
    <w:p w14:paraId="4394529D" w14:textId="2C3232AB" w:rsidR="002B0B6D" w:rsidRDefault="002B0B6D" w:rsidP="00036077">
      <w:pPr>
        <w:spacing w:line="276" w:lineRule="auto"/>
        <w:ind w:firstLine="0"/>
        <w:rPr>
          <w:rFonts w:ascii="Cambria" w:hAnsi="Cambria"/>
          <w:color w:val="000000" w:themeColor="text1"/>
          <w:sz w:val="24"/>
        </w:rPr>
      </w:pPr>
    </w:p>
    <w:p w14:paraId="1CCE9799" w14:textId="77777777" w:rsidR="002B0B6D" w:rsidRPr="001E60AA" w:rsidRDefault="002B0B6D" w:rsidP="00036077">
      <w:pPr>
        <w:spacing w:line="276" w:lineRule="auto"/>
        <w:ind w:firstLine="0"/>
        <w:rPr>
          <w:rFonts w:ascii="Cambria" w:hAnsi="Cambria"/>
          <w:color w:val="000000" w:themeColor="text1"/>
          <w:sz w:val="24"/>
        </w:rPr>
      </w:pPr>
    </w:p>
    <w:p w14:paraId="163CB630" w14:textId="77777777" w:rsidR="00036077" w:rsidRPr="001E60AA" w:rsidRDefault="00036077" w:rsidP="00036077">
      <w:pPr>
        <w:spacing w:line="276" w:lineRule="auto"/>
        <w:ind w:firstLine="0"/>
        <w:rPr>
          <w:rFonts w:ascii="Cambria" w:hAnsi="Cambria"/>
          <w:b/>
          <w:bCs/>
          <w:color w:val="000000" w:themeColor="text1"/>
          <w:sz w:val="24"/>
        </w:rPr>
      </w:pPr>
    </w:p>
    <w:p w14:paraId="3225FE7E" w14:textId="77777777" w:rsidR="00036077" w:rsidRPr="001E60AA" w:rsidRDefault="00036077" w:rsidP="00036077">
      <w:pPr>
        <w:spacing w:line="276" w:lineRule="auto"/>
        <w:ind w:firstLine="0"/>
        <w:rPr>
          <w:rFonts w:ascii="Cambria" w:hAnsi="Cambria"/>
          <w:b/>
          <w:bCs/>
          <w:color w:val="000000" w:themeColor="text1"/>
          <w:sz w:val="24"/>
        </w:rPr>
      </w:pPr>
      <w:r w:rsidRPr="001E60AA">
        <w:rPr>
          <w:rFonts w:ascii="Cambria" w:hAnsi="Cambria"/>
          <w:b/>
          <w:bCs/>
          <w:color w:val="000000" w:themeColor="text1"/>
          <w:sz w:val="24"/>
        </w:rPr>
        <w:lastRenderedPageBreak/>
        <w:t xml:space="preserve">INTRODUCTION </w:t>
      </w:r>
    </w:p>
    <w:p w14:paraId="6AA02D3F" w14:textId="77777777" w:rsidR="003337EE" w:rsidRPr="003337EE" w:rsidRDefault="003337EE" w:rsidP="003337EE">
      <w:pPr>
        <w:spacing w:line="276" w:lineRule="auto"/>
        <w:rPr>
          <w:rFonts w:ascii="Cambria" w:hAnsi="Cambria"/>
          <w:color w:val="000000" w:themeColor="text1"/>
          <w:sz w:val="24"/>
          <w:lang w:val="en-US"/>
        </w:rPr>
      </w:pPr>
      <w:r w:rsidRPr="003337EE">
        <w:rPr>
          <w:rFonts w:ascii="Cambria" w:hAnsi="Cambria"/>
          <w:color w:val="000000" w:themeColor="text1"/>
          <w:sz w:val="24"/>
          <w:lang w:val="en-US"/>
        </w:rPr>
        <w:t>The outbreak of the Coronavirus Disease 2019 (COVID-19) has shaken global order and posed an existential challenge to Indonesia’s national resilience (Samudro &amp; Madjid, 2020). Beyond its impact on public health, COVID-19 also generated significant social and economic disruptions, including declining income, rising unemployment, and disturbances in transportation, facilities, and industries affected by the pandemic (Alarifi et al., 2020). The spread of COVID-19 was rapid, transboundary, and affected all layers of society, offering an important lesson for Indonesia on strengthening its national defense system.</w:t>
      </w:r>
    </w:p>
    <w:p w14:paraId="4F9E2CB2" w14:textId="77777777" w:rsidR="003337EE" w:rsidRPr="003337EE" w:rsidRDefault="003337EE" w:rsidP="003337EE">
      <w:pPr>
        <w:spacing w:line="276" w:lineRule="auto"/>
        <w:rPr>
          <w:rFonts w:ascii="Cambria" w:hAnsi="Cambria"/>
          <w:color w:val="000000" w:themeColor="text1"/>
          <w:sz w:val="24"/>
          <w:lang w:val="en-US"/>
        </w:rPr>
      </w:pPr>
      <w:r w:rsidRPr="003337EE">
        <w:rPr>
          <w:rFonts w:ascii="Cambria" w:hAnsi="Cambria"/>
          <w:color w:val="000000" w:themeColor="text1"/>
          <w:sz w:val="24"/>
          <w:lang w:val="en-US"/>
        </w:rPr>
        <w:t>National defense is a shared responsibility among all components of the nation. Article 30 of the 1945 Constitution of the Republic of Indonesia emphasizes that national defense and security are the duties of every Indonesian citizen (Danga et al., 2023). In this context, Indonesia embodies its defense system through the Total People’s Defense System (Sistem Pertahanan Rakyat Semesta/SISHANTA), which relies on the participation of all national components. Given the limitations of military and security personnel, Indonesia cannot rely solely on the armed forces (TNI) and police (POLRI) to safeguard the nation. Therefore, the development of national defense capacity should not be interpreted merely as war preparedness but as an effort to maintain regional and global balance by engaging all elements of the nation (Fathurrohman &amp; Supriyadi, 2024).</w:t>
      </w:r>
    </w:p>
    <w:p w14:paraId="74AA796B" w14:textId="77777777" w:rsidR="003337EE" w:rsidRPr="003337EE" w:rsidRDefault="003337EE" w:rsidP="003337EE">
      <w:pPr>
        <w:spacing w:line="276" w:lineRule="auto"/>
        <w:rPr>
          <w:rFonts w:ascii="Cambria" w:hAnsi="Cambria"/>
          <w:color w:val="000000" w:themeColor="text1"/>
          <w:sz w:val="24"/>
          <w:lang w:val="en-US"/>
        </w:rPr>
      </w:pPr>
      <w:r w:rsidRPr="003337EE">
        <w:rPr>
          <w:rFonts w:ascii="Cambria" w:hAnsi="Cambria"/>
          <w:color w:val="000000" w:themeColor="text1"/>
          <w:sz w:val="24"/>
          <w:lang w:val="en-US"/>
        </w:rPr>
        <w:t>This doctrine is mandated in Law No. 3 of 2002 on National Defense, which stipulates that national defense must be total and integrated, mobilizing all national resources (Kusuma, Prakoso, &amp; Dadang, 2022). In the context of COVID-19, the participation of civilians and non-military resources became the frontline of defense, reaffirming the relevance of SISHANTA in facing non-traditional threats where defense is no longer solely the domain of military power (Danga et al., 2023).</w:t>
      </w:r>
    </w:p>
    <w:p w14:paraId="0095E25B" w14:textId="77777777" w:rsidR="003337EE" w:rsidRPr="003337EE" w:rsidRDefault="003337EE" w:rsidP="003337EE">
      <w:pPr>
        <w:spacing w:line="276" w:lineRule="auto"/>
        <w:rPr>
          <w:rFonts w:ascii="Cambria" w:hAnsi="Cambria"/>
          <w:color w:val="000000" w:themeColor="text1"/>
          <w:sz w:val="24"/>
          <w:lang w:val="en-US"/>
        </w:rPr>
      </w:pPr>
      <w:r w:rsidRPr="003337EE">
        <w:rPr>
          <w:rFonts w:ascii="Cambria" w:hAnsi="Cambria"/>
          <w:color w:val="000000" w:themeColor="text1"/>
          <w:sz w:val="24"/>
          <w:lang w:val="en-US"/>
        </w:rPr>
        <w:t>The Total People’s Defense System seeks to safeguard the nation’s sovereignty and security through the active involvement of all citizens. It underscores that defense is not exclusively the military’s responsibility but also requires the participation of civil society in diverse forms. SISHANTA can be actualized in response to the evolving nature of defense threats amid the changing strategic environment. These threats include not only traditional and military challenges but also non-military and non-traditional threats (Rusfiana, 2022).</w:t>
      </w:r>
    </w:p>
    <w:p w14:paraId="154A489D" w14:textId="77777777" w:rsidR="003337EE" w:rsidRPr="003337EE" w:rsidRDefault="003337EE" w:rsidP="003337EE">
      <w:pPr>
        <w:spacing w:line="276" w:lineRule="auto"/>
        <w:rPr>
          <w:rFonts w:ascii="Cambria" w:hAnsi="Cambria"/>
          <w:color w:val="000000" w:themeColor="text1"/>
          <w:sz w:val="24"/>
          <w:lang w:val="en-US"/>
        </w:rPr>
      </w:pPr>
      <w:r w:rsidRPr="003337EE">
        <w:rPr>
          <w:rFonts w:ascii="Cambria" w:hAnsi="Cambria"/>
          <w:color w:val="000000" w:themeColor="text1"/>
          <w:sz w:val="24"/>
          <w:lang w:val="en-US"/>
        </w:rPr>
        <w:t xml:space="preserve">This perspective became increasingly relevant as Indonesia faced non-traditional threats such as the COVID-19 pandemic, which triggered multidimensional disruptions in health, economy, environment, education, and social life, even at the household level (Pan &amp; Yue, 2022). Addressing the pandemic required an adaptive and comprehensive governance model. Polycentric Governance provided an appropriate framework for understanding defense strategies because it empowers diverse and heterogeneous actors in defense management (Fathurrohman &amp; Supriyadi, 2024). Polycentricity refers to the existence of multiple governing authorities operating at different levels or scales, each possessing relative independence in establishing norms and rules within its jurisdiction (Huitema et al., 2019). This model highlights that national defense strengthening should </w:t>
      </w:r>
      <w:r w:rsidRPr="003337EE">
        <w:rPr>
          <w:rFonts w:ascii="Cambria" w:hAnsi="Cambria"/>
          <w:color w:val="000000" w:themeColor="text1"/>
          <w:sz w:val="24"/>
          <w:lang w:val="en-US"/>
        </w:rPr>
        <w:lastRenderedPageBreak/>
        <w:t>not depend on a single dominant authority—such as military dominance—but rather be understood as a shared civic responsibility.</w:t>
      </w:r>
    </w:p>
    <w:p w14:paraId="1F64318F" w14:textId="77777777" w:rsidR="003337EE" w:rsidRPr="003337EE" w:rsidRDefault="003337EE" w:rsidP="003337EE">
      <w:pPr>
        <w:spacing w:line="276" w:lineRule="auto"/>
        <w:rPr>
          <w:rFonts w:ascii="Cambria" w:hAnsi="Cambria"/>
          <w:color w:val="000000" w:themeColor="text1"/>
          <w:sz w:val="24"/>
          <w:lang w:val="en-US"/>
        </w:rPr>
      </w:pPr>
      <w:r w:rsidRPr="003337EE">
        <w:rPr>
          <w:rFonts w:ascii="Cambria" w:hAnsi="Cambria"/>
          <w:color w:val="000000" w:themeColor="text1"/>
          <w:sz w:val="24"/>
          <w:lang w:val="en-US"/>
        </w:rPr>
        <w:t>Within a polycentric governance spectrum, crisis management success depends on synergy between defense objectives and public welfare goals. The pandemic left many states uncertain in both technical and non-technical responses (Suswanto, 2024). This challenge was aggravated by limited governmental capacity during the emergency. Consequently, collaboration with non-military civil organizations possessing strong social bases became essential in managing the crisis.</w:t>
      </w:r>
    </w:p>
    <w:p w14:paraId="38AA4A72" w14:textId="31D660BB" w:rsidR="003337EE" w:rsidRPr="003337EE" w:rsidRDefault="003337EE" w:rsidP="003337EE">
      <w:pPr>
        <w:spacing w:line="276" w:lineRule="auto"/>
        <w:rPr>
          <w:rFonts w:ascii="Cambria" w:hAnsi="Cambria"/>
          <w:color w:val="000000" w:themeColor="text1"/>
          <w:sz w:val="24"/>
          <w:lang w:val="en-US"/>
        </w:rPr>
      </w:pPr>
      <w:r w:rsidRPr="003337EE">
        <w:rPr>
          <w:rFonts w:ascii="Cambria" w:hAnsi="Cambria"/>
          <w:color w:val="000000" w:themeColor="text1"/>
          <w:sz w:val="24"/>
          <w:lang w:val="en-US"/>
        </w:rPr>
        <w:t>In this regard, religious organizations play a significant role. Muhammadiyah, one of Indonesia’s largest Islamic organizations, demonstrated its contribution through the establishment of the Muhammadiyah COVID-19 Command Center (MCCC), which became a frontline actor in pandemic response (Falahudin, 2020). The MCCC mobilized Muhammadiyah’s vast resources</w:t>
      </w:r>
      <w:r>
        <w:rPr>
          <w:rFonts w:ascii="Cambria" w:hAnsi="Cambria"/>
          <w:color w:val="000000" w:themeColor="text1"/>
          <w:sz w:val="24"/>
          <w:lang w:val="en-US"/>
        </w:rPr>
        <w:t xml:space="preserve">, </w:t>
      </w:r>
      <w:r w:rsidRPr="003337EE">
        <w:rPr>
          <w:rFonts w:ascii="Cambria" w:hAnsi="Cambria"/>
          <w:color w:val="000000" w:themeColor="text1"/>
          <w:sz w:val="24"/>
          <w:lang w:val="en-US"/>
        </w:rPr>
        <w:t>ranging from hospitals and educational institutions to grassroots community networks (Ramdan &amp; Sahman, 2025). With its extensive network, Muhammadiyah not only implemented public health mitigation but also distributed social assistance, promoted public literacy on pandemic awareness, and advocated evidence-based policymaking through research and policy engagement (Sholahah, 2025). These concrete steps represent a civil actor’s realization of SISHANTA during a national emergency.</w:t>
      </w:r>
    </w:p>
    <w:p w14:paraId="51762B6A" w14:textId="77777777" w:rsidR="003337EE" w:rsidRPr="003337EE" w:rsidRDefault="003337EE" w:rsidP="003337EE">
      <w:pPr>
        <w:spacing w:line="276" w:lineRule="auto"/>
        <w:rPr>
          <w:rFonts w:ascii="Cambria" w:hAnsi="Cambria"/>
          <w:color w:val="000000" w:themeColor="text1"/>
          <w:sz w:val="24"/>
          <w:lang w:val="en-US"/>
        </w:rPr>
      </w:pPr>
      <w:r w:rsidRPr="003337EE">
        <w:rPr>
          <w:rFonts w:ascii="Cambria" w:hAnsi="Cambria"/>
          <w:color w:val="000000" w:themeColor="text1"/>
          <w:sz w:val="24"/>
          <w:lang w:val="en-US"/>
        </w:rPr>
        <w:t>However, academic studies on Total People’s Defense remain predominantly focused on military dimensions, positioning the state as the central actor. Conversely, Non-Military Defense has often been institutionalized through government bodies coordinated within the “Triumvirate Ministries”—the Ministry of Home Affairs, Ministry of Foreign Affairs, and Ministry of Defense (Yusuf et al., 2023). Since non-military defense aims to anticipate non-traditional threats to the nation’s survival, the discourse should also encompass non-state, polycentric actors. The COVID-19 pandemic highlighted the emergence of such non-state civil actors as strategic pillars of social defense.</w:t>
      </w:r>
    </w:p>
    <w:p w14:paraId="042F5205" w14:textId="77777777" w:rsidR="003337EE" w:rsidRPr="003337EE" w:rsidRDefault="003337EE" w:rsidP="003337EE">
      <w:pPr>
        <w:spacing w:line="276" w:lineRule="auto"/>
        <w:rPr>
          <w:rFonts w:ascii="Cambria" w:hAnsi="Cambria"/>
          <w:color w:val="000000" w:themeColor="text1"/>
          <w:sz w:val="24"/>
          <w:lang w:val="en-US"/>
        </w:rPr>
      </w:pPr>
      <w:r w:rsidRPr="003337EE">
        <w:rPr>
          <w:rFonts w:ascii="Cambria" w:hAnsi="Cambria"/>
          <w:color w:val="000000" w:themeColor="text1"/>
          <w:sz w:val="24"/>
          <w:lang w:val="en-US"/>
        </w:rPr>
        <w:t>This study argues that Muhammadiyah’s engagement during the pandemic transcended humanitarian action; it represents a form of Total People’s Defense in civil society practice. With its modernist Islamic ideology, Muhammadiyah embodies a model of social mobilization grounded in religious values and rational modernity (Burhani, 2020). Despite widespread recognition of Muhammadiyah’s effectiveness, academic analysis has yet to position this massive contribution explicitly within the framework of the Total People’s Defense doctrine. Existing studies have largely examined Muhammadiyah’s role from the perspectives of civil society organizations (CSOs) or faith-based organizations (FBOs) (Purwaningsih &amp; Amrurobbi, 2021).</w:t>
      </w:r>
    </w:p>
    <w:p w14:paraId="6C9D938E" w14:textId="56452654" w:rsidR="003337EE" w:rsidRDefault="003337EE" w:rsidP="003337EE">
      <w:pPr>
        <w:spacing w:line="276" w:lineRule="auto"/>
        <w:rPr>
          <w:rFonts w:ascii="Cambria" w:hAnsi="Cambria"/>
          <w:color w:val="000000" w:themeColor="text1"/>
          <w:sz w:val="24"/>
          <w:lang w:val="en-US"/>
        </w:rPr>
      </w:pPr>
      <w:r w:rsidRPr="003337EE">
        <w:rPr>
          <w:rFonts w:ascii="Cambria" w:hAnsi="Cambria"/>
          <w:color w:val="000000" w:themeColor="text1"/>
          <w:sz w:val="24"/>
          <w:lang w:val="en-US"/>
        </w:rPr>
        <w:t>Therefore, this research seeks to fill this gap by analyzing how Muhammadiyah’s comprehensive resource mobilization during the pandemic can be interpreted and justified as an operationalization of SISHANTA. The study aims to enrich academic discourse on the evolution of Indonesia’s national defense doctrine in addressing non-traditional threats.</w:t>
      </w:r>
    </w:p>
    <w:p w14:paraId="5257E761" w14:textId="77777777" w:rsidR="003337EE" w:rsidRDefault="003337EE" w:rsidP="00036077">
      <w:pPr>
        <w:spacing w:line="276" w:lineRule="auto"/>
        <w:rPr>
          <w:rFonts w:ascii="Cambria" w:hAnsi="Cambria"/>
          <w:color w:val="000000" w:themeColor="text1"/>
          <w:sz w:val="24"/>
          <w:lang w:val="en-US"/>
        </w:rPr>
      </w:pPr>
    </w:p>
    <w:p w14:paraId="6628B68B" w14:textId="77777777" w:rsidR="00BD726E" w:rsidRDefault="00BD726E" w:rsidP="00036077">
      <w:pPr>
        <w:spacing w:line="276" w:lineRule="auto"/>
        <w:ind w:firstLine="0"/>
        <w:rPr>
          <w:rFonts w:ascii="Cambria" w:hAnsi="Cambria"/>
          <w:b/>
          <w:bCs/>
          <w:color w:val="000000" w:themeColor="text1"/>
          <w:sz w:val="24"/>
          <w:szCs w:val="28"/>
          <w:shd w:val="clear" w:color="auto" w:fill="FFFFFF"/>
        </w:rPr>
      </w:pPr>
    </w:p>
    <w:p w14:paraId="3D5F4B0C" w14:textId="2B89F27F" w:rsidR="00036077" w:rsidRPr="001E60AA" w:rsidRDefault="00036077" w:rsidP="00036077">
      <w:pPr>
        <w:spacing w:line="276" w:lineRule="auto"/>
        <w:ind w:firstLine="0"/>
        <w:rPr>
          <w:rFonts w:ascii="Cambria" w:hAnsi="Cambria"/>
          <w:b/>
          <w:color w:val="000000" w:themeColor="text1"/>
          <w:sz w:val="24"/>
          <w:szCs w:val="40"/>
        </w:rPr>
      </w:pPr>
      <w:r w:rsidRPr="001E60AA">
        <w:rPr>
          <w:rFonts w:ascii="Cambria" w:hAnsi="Cambria"/>
          <w:b/>
          <w:bCs/>
          <w:color w:val="000000" w:themeColor="text1"/>
          <w:sz w:val="24"/>
          <w:szCs w:val="28"/>
          <w:shd w:val="clear" w:color="auto" w:fill="FFFFFF"/>
        </w:rPr>
        <w:lastRenderedPageBreak/>
        <w:t>METHOD</w:t>
      </w:r>
      <w:r w:rsidRPr="001E60AA">
        <w:rPr>
          <w:rFonts w:ascii="Cambria" w:hAnsi="Cambria"/>
          <w:b/>
          <w:bCs/>
          <w:color w:val="000000" w:themeColor="text1"/>
          <w:sz w:val="24"/>
          <w:szCs w:val="28"/>
          <w:shd w:val="clear" w:color="auto" w:fill="FFFFFF"/>
          <w:lang w:val="en-AU"/>
        </w:rPr>
        <w:t>S</w:t>
      </w:r>
      <w:r w:rsidRPr="001E60AA">
        <w:rPr>
          <w:rFonts w:ascii="Cambria" w:hAnsi="Cambria"/>
          <w:b/>
          <w:bCs/>
          <w:color w:val="000000" w:themeColor="text1"/>
          <w:sz w:val="24"/>
          <w:szCs w:val="28"/>
          <w:shd w:val="clear" w:color="auto" w:fill="FFFFFF"/>
        </w:rPr>
        <w:t xml:space="preserve"> </w:t>
      </w:r>
    </w:p>
    <w:p w14:paraId="21873149" w14:textId="77777777" w:rsidR="00C45ACA" w:rsidRPr="00C45ACA" w:rsidRDefault="00C45ACA" w:rsidP="00C45ACA">
      <w:pPr>
        <w:spacing w:line="276" w:lineRule="auto"/>
        <w:rPr>
          <w:rFonts w:eastAsia="Times New Roman"/>
          <w:color w:val="000000" w:themeColor="text1"/>
          <w:sz w:val="24"/>
          <w:lang w:val="en-US"/>
        </w:rPr>
      </w:pPr>
      <w:r w:rsidRPr="00C45ACA">
        <w:rPr>
          <w:rFonts w:eastAsia="Times New Roman"/>
          <w:color w:val="000000" w:themeColor="text1"/>
          <w:sz w:val="24"/>
          <w:lang w:val="en-US"/>
        </w:rPr>
        <w:t>This study adopted a qualitative research approach with a case study design to comprehensively understand how Muhammadiyah, as a religious organization, operationalized the concept of Total People’s Defense during the COVID-19 pandemic. The qualitative paradigm was chosen to capture the depth and dynamics of social and religious behavior that cannot be adequately measured through quantitative indicators. As argued by Baxter and Jack (2008), a case study design is appropriate when the researcher seeks to explain a complex phenomenon within its real-life context—particularly when the boundaries between the phenomenon and its context are not clearly defined.</w:t>
      </w:r>
    </w:p>
    <w:p w14:paraId="2883FED5" w14:textId="77777777" w:rsidR="00C45ACA" w:rsidRPr="00C45ACA" w:rsidRDefault="00C45ACA" w:rsidP="00C45ACA">
      <w:pPr>
        <w:spacing w:line="276" w:lineRule="auto"/>
        <w:rPr>
          <w:rFonts w:eastAsia="Times New Roman"/>
          <w:color w:val="000000" w:themeColor="text1"/>
          <w:sz w:val="24"/>
          <w:lang w:val="en-US"/>
        </w:rPr>
      </w:pPr>
      <w:r w:rsidRPr="00C45ACA">
        <w:rPr>
          <w:rFonts w:eastAsia="Times New Roman"/>
          <w:color w:val="000000" w:themeColor="text1"/>
          <w:sz w:val="24"/>
          <w:lang w:val="en-US"/>
        </w:rPr>
        <w:t>In this regard, the case of Muhammadiyah represents an ideal site for examining how civil society organizations embody national defense principles through community-based and faith-driven initiatives. Rather than attempting to generalize findings, the study seeks to generate a contextual and interpretive understanding of Muhammadiyah’s strategies in transforming religious and humanitarian values into instruments of national resilience during a crisis.</w:t>
      </w:r>
    </w:p>
    <w:p w14:paraId="640661C2" w14:textId="7957CB53" w:rsidR="00C45ACA" w:rsidRPr="00C45ACA" w:rsidRDefault="00C45ACA" w:rsidP="00AC6A54">
      <w:pPr>
        <w:spacing w:line="276" w:lineRule="auto"/>
        <w:rPr>
          <w:rFonts w:eastAsia="Times New Roman"/>
          <w:color w:val="000000" w:themeColor="text1"/>
          <w:sz w:val="24"/>
          <w:lang w:val="en-US"/>
        </w:rPr>
      </w:pPr>
      <w:r w:rsidRPr="00C45ACA">
        <w:rPr>
          <w:rFonts w:eastAsia="Times New Roman"/>
          <w:color w:val="000000" w:themeColor="text1"/>
          <w:sz w:val="24"/>
          <w:lang w:val="en-US"/>
        </w:rPr>
        <w:t>The research was conducted in three regions</w:t>
      </w:r>
      <w:r>
        <w:rPr>
          <w:rFonts w:eastAsia="Times New Roman"/>
          <w:color w:val="000000" w:themeColor="text1"/>
          <w:sz w:val="24"/>
          <w:lang w:val="en-US"/>
        </w:rPr>
        <w:t xml:space="preserve">, </w:t>
      </w:r>
      <w:r w:rsidRPr="00C45ACA">
        <w:rPr>
          <w:rFonts w:eastAsia="Times New Roman"/>
          <w:color w:val="000000" w:themeColor="text1"/>
          <w:sz w:val="24"/>
          <w:lang w:val="en-US"/>
        </w:rPr>
        <w:t>Yogyakarta, Jakarta, and West Sumatra</w:t>
      </w:r>
      <w:r>
        <w:rPr>
          <w:rFonts w:eastAsia="Times New Roman"/>
          <w:color w:val="000000" w:themeColor="text1"/>
          <w:sz w:val="24"/>
          <w:lang w:val="en-US"/>
        </w:rPr>
        <w:t xml:space="preserve">, </w:t>
      </w:r>
      <w:r w:rsidRPr="00C45ACA">
        <w:rPr>
          <w:rFonts w:eastAsia="Times New Roman"/>
          <w:color w:val="000000" w:themeColor="text1"/>
          <w:sz w:val="24"/>
          <w:lang w:val="en-US"/>
        </w:rPr>
        <w:t>selected purposively to represent the ideological, political, and cultural variations of Muhammadiyah’s movement.</w:t>
      </w:r>
      <w:r>
        <w:rPr>
          <w:rFonts w:eastAsia="Times New Roman"/>
          <w:color w:val="000000" w:themeColor="text1"/>
          <w:sz w:val="24"/>
          <w:lang w:val="en-US"/>
        </w:rPr>
        <w:t xml:space="preserve"> </w:t>
      </w:r>
      <w:r w:rsidRPr="00C45ACA">
        <w:rPr>
          <w:rFonts w:eastAsia="Times New Roman"/>
          <w:color w:val="000000" w:themeColor="text1"/>
          <w:sz w:val="24"/>
          <w:lang w:val="en-US"/>
        </w:rPr>
        <w:t>Yogyakarta serves as the ideological and historical center of Muhammadiyah, reflecting its intellectual and organizational foundations.</w:t>
      </w:r>
      <w:r>
        <w:rPr>
          <w:rFonts w:eastAsia="Times New Roman"/>
          <w:color w:val="000000" w:themeColor="text1"/>
          <w:sz w:val="24"/>
          <w:lang w:val="en-US"/>
        </w:rPr>
        <w:t xml:space="preserve"> </w:t>
      </w:r>
      <w:r w:rsidRPr="00C45ACA">
        <w:rPr>
          <w:rFonts w:eastAsia="Times New Roman"/>
          <w:color w:val="000000" w:themeColor="text1"/>
          <w:sz w:val="24"/>
          <w:lang w:val="en-US"/>
        </w:rPr>
        <w:t>Jakarta, as the nation’s political capital, represents the arena of public policy contestation where Muhammadiyah’s advocacy and partnerships with the government are most visible.</w:t>
      </w:r>
      <w:r w:rsidR="00AC6A54">
        <w:rPr>
          <w:rFonts w:eastAsia="Times New Roman"/>
          <w:color w:val="000000" w:themeColor="text1"/>
          <w:sz w:val="24"/>
          <w:lang w:val="en-US"/>
        </w:rPr>
        <w:t xml:space="preserve"> </w:t>
      </w:r>
      <w:r w:rsidRPr="00C45ACA">
        <w:rPr>
          <w:rFonts w:eastAsia="Times New Roman"/>
          <w:color w:val="000000" w:themeColor="text1"/>
          <w:sz w:val="24"/>
          <w:lang w:val="en-US"/>
        </w:rPr>
        <w:t>West Sumatra, on the other hand, signifies the historical spread of Muhammadiyah beyond Java and embodies a distinct reformist-Islamic tradition deeply rooted in communal religiosity (Mulkhan, 2000; Rush, 2017).</w:t>
      </w:r>
      <w:r w:rsidR="00AC6A54">
        <w:rPr>
          <w:rFonts w:eastAsia="Times New Roman"/>
          <w:color w:val="000000" w:themeColor="text1"/>
          <w:sz w:val="24"/>
          <w:lang w:val="en-US"/>
        </w:rPr>
        <w:t xml:space="preserve"> </w:t>
      </w:r>
      <w:r w:rsidRPr="00C45ACA">
        <w:rPr>
          <w:rFonts w:eastAsia="Times New Roman"/>
          <w:color w:val="000000" w:themeColor="text1"/>
          <w:sz w:val="24"/>
          <w:lang w:val="en-US"/>
        </w:rPr>
        <w:t>By situating the research in these diverse socio-geographical contexts, the study aimed to reveal how local expressions of faith-based activism intersect with the broader framework of national defense.</w:t>
      </w:r>
    </w:p>
    <w:p w14:paraId="40EF2C8C" w14:textId="00CB45C6" w:rsidR="00C45ACA" w:rsidRPr="00C45ACA" w:rsidRDefault="00C45ACA" w:rsidP="00AC6A54">
      <w:pPr>
        <w:spacing w:line="276" w:lineRule="auto"/>
        <w:rPr>
          <w:rFonts w:eastAsia="Times New Roman"/>
          <w:color w:val="000000" w:themeColor="text1"/>
          <w:sz w:val="24"/>
          <w:lang w:val="en-US"/>
        </w:rPr>
      </w:pPr>
      <w:r w:rsidRPr="00C45ACA">
        <w:rPr>
          <w:rFonts w:eastAsia="Times New Roman"/>
          <w:color w:val="000000" w:themeColor="text1"/>
          <w:sz w:val="24"/>
          <w:lang w:val="en-US"/>
        </w:rPr>
        <w:t>Data were collected through in-depth interviews, participant observations, and documentary analysis.</w:t>
      </w:r>
      <w:r w:rsidR="00AC6A54">
        <w:rPr>
          <w:rFonts w:eastAsia="Times New Roman"/>
          <w:color w:val="000000" w:themeColor="text1"/>
          <w:sz w:val="24"/>
          <w:lang w:val="en-US"/>
        </w:rPr>
        <w:t xml:space="preserve"> </w:t>
      </w:r>
      <w:r w:rsidRPr="00C45ACA">
        <w:rPr>
          <w:rFonts w:eastAsia="Times New Roman"/>
          <w:color w:val="000000" w:themeColor="text1"/>
          <w:sz w:val="24"/>
          <w:lang w:val="en-US"/>
        </w:rPr>
        <w:t>Interviews were conducted with Muhammadiyah leaders, members, and volunteers across organizational levels, selected using a snowball sampling technique to reach key informants with relevant experience in the pandemic response. The interviews explored participants’ perspectives on mobilization strategies, decision-making processes, and inter-organizational collaboration during the crisis.</w:t>
      </w:r>
      <w:r w:rsidR="00AC6A54">
        <w:rPr>
          <w:rFonts w:eastAsia="Times New Roman"/>
          <w:color w:val="000000" w:themeColor="text1"/>
          <w:sz w:val="24"/>
          <w:lang w:val="en-US"/>
        </w:rPr>
        <w:t xml:space="preserve"> </w:t>
      </w:r>
      <w:r w:rsidRPr="00C45ACA">
        <w:rPr>
          <w:rFonts w:eastAsia="Times New Roman"/>
          <w:color w:val="000000" w:themeColor="text1"/>
          <w:sz w:val="24"/>
          <w:lang w:val="en-US"/>
        </w:rPr>
        <w:t>Participant observations were carried out during the implementation of health services, social aid distribution, and public education programs organized by the Muhammadiyah COVID-19 Command Center (MCCC). These observations enabled the researcher to capture real-time interactions and community responses in the field.</w:t>
      </w:r>
      <w:r w:rsidR="00AC6A54">
        <w:rPr>
          <w:rFonts w:eastAsia="Times New Roman"/>
          <w:color w:val="000000" w:themeColor="text1"/>
          <w:sz w:val="24"/>
          <w:lang w:val="en-US"/>
        </w:rPr>
        <w:t xml:space="preserve"> </w:t>
      </w:r>
      <w:r w:rsidRPr="00C45ACA">
        <w:rPr>
          <w:rFonts w:eastAsia="Times New Roman"/>
          <w:color w:val="000000" w:themeColor="text1"/>
          <w:sz w:val="24"/>
          <w:lang w:val="en-US"/>
        </w:rPr>
        <w:t>In addition, document analysis involved reviewing official circulars, fatwas, and policy statements issued by the Central Board of Muhammadiyah, as well as MCCC’s operational reports and government documents related to pandemic management. The combination of these sources allowed for a multi-layered understanding of both institutional narratives and grassroots actions.</w:t>
      </w:r>
    </w:p>
    <w:p w14:paraId="00E413A3" w14:textId="77777777" w:rsidR="00C45ACA" w:rsidRPr="00C45ACA" w:rsidRDefault="00C45ACA" w:rsidP="00C45ACA">
      <w:pPr>
        <w:spacing w:line="276" w:lineRule="auto"/>
        <w:rPr>
          <w:rFonts w:eastAsia="Times New Roman"/>
          <w:color w:val="000000" w:themeColor="text1"/>
          <w:sz w:val="24"/>
          <w:lang w:val="en-US"/>
        </w:rPr>
      </w:pPr>
      <w:r w:rsidRPr="00C45ACA">
        <w:rPr>
          <w:rFonts w:eastAsia="Times New Roman"/>
          <w:color w:val="000000" w:themeColor="text1"/>
          <w:sz w:val="24"/>
          <w:lang w:val="en-US"/>
        </w:rPr>
        <w:t xml:space="preserve">The collected data were processed through thematic analysis, following the steps of reduction, categorization, and interpretation (Creswell, 2007; Akinyode &amp; Khan, 2018). Thematic analysis was used to identify recurring patterns and strategic themes that illustrate Muhammadiyah’s role in national defense during the pandemic. Data analysis was conducted </w:t>
      </w:r>
      <w:r w:rsidRPr="00C45ACA">
        <w:rPr>
          <w:rFonts w:eastAsia="Times New Roman"/>
          <w:color w:val="000000" w:themeColor="text1"/>
          <w:sz w:val="24"/>
          <w:lang w:val="en-US"/>
        </w:rPr>
        <w:lastRenderedPageBreak/>
        <w:t>simultaneously with data collection, enabling continuous reflection and refinement of emerging insights.</w:t>
      </w:r>
    </w:p>
    <w:p w14:paraId="4103BEB6" w14:textId="38563CC5" w:rsidR="00036077" w:rsidRPr="001E60AA" w:rsidRDefault="00C45ACA" w:rsidP="00C45ACA">
      <w:pPr>
        <w:spacing w:line="276" w:lineRule="auto"/>
        <w:rPr>
          <w:rFonts w:ascii="Cambria" w:hAnsi="Cambria"/>
          <w:color w:val="000000" w:themeColor="text1"/>
          <w:sz w:val="24"/>
          <w:lang w:val="en-US"/>
        </w:rPr>
      </w:pPr>
      <w:r w:rsidRPr="00C45ACA">
        <w:rPr>
          <w:rFonts w:eastAsia="Times New Roman"/>
          <w:color w:val="000000" w:themeColor="text1"/>
          <w:sz w:val="24"/>
          <w:lang w:val="en-US"/>
        </w:rPr>
        <w:t>To ensure credibility and dependability, the research employed triangulation of sources and methods (Campbell et al., 2018). This approach not only enhances analytical rigor but also ensures that interpretations reflect the diverse realities experienced across different Muhammadiyah networks.</w:t>
      </w:r>
      <w:r w:rsidR="00AC6A54">
        <w:rPr>
          <w:rFonts w:eastAsia="Times New Roman"/>
          <w:color w:val="000000" w:themeColor="text1"/>
          <w:sz w:val="24"/>
          <w:lang w:val="en-US"/>
        </w:rPr>
        <w:t xml:space="preserve"> </w:t>
      </w:r>
      <w:r w:rsidRPr="00C45ACA">
        <w:rPr>
          <w:rFonts w:eastAsia="Times New Roman"/>
          <w:color w:val="000000" w:themeColor="text1"/>
          <w:sz w:val="24"/>
          <w:lang w:val="en-US"/>
        </w:rPr>
        <w:t>Ultimately, this methodological design provided the analytical depth required to interpret Muhammadiyah’s collective response as an embodiment of civil defense within Indonesia’s broader Total People’s Defense System (SISHANTA) framework. The approach demonstrates how religious organizations can function as vital social actors in non-military defense domains—bridging moral, scientific, and humanitarian imperatives for the protection of national resilience</w:t>
      </w:r>
      <w:r w:rsidR="00036077" w:rsidRPr="001E60AA">
        <w:rPr>
          <w:rFonts w:eastAsia="Times New Roman"/>
          <w:color w:val="000000" w:themeColor="text1"/>
          <w:sz w:val="24"/>
          <w:lang w:val="en-US"/>
        </w:rPr>
        <w:t xml:space="preserve">. </w:t>
      </w:r>
    </w:p>
    <w:p w14:paraId="47B82D39" w14:textId="77777777" w:rsidR="00036077" w:rsidRPr="001E60AA" w:rsidRDefault="00036077" w:rsidP="00036077">
      <w:pPr>
        <w:spacing w:line="276" w:lineRule="auto"/>
        <w:rPr>
          <w:rFonts w:ascii="Cambria" w:hAnsi="Cambria"/>
          <w:color w:val="000000" w:themeColor="text1"/>
          <w:sz w:val="24"/>
          <w:lang w:val="en-US"/>
        </w:rPr>
      </w:pPr>
    </w:p>
    <w:p w14:paraId="7FABCD21" w14:textId="77777777" w:rsidR="00036077" w:rsidRPr="001E60AA" w:rsidRDefault="00036077" w:rsidP="00036077">
      <w:pPr>
        <w:spacing w:line="276" w:lineRule="auto"/>
        <w:rPr>
          <w:rFonts w:ascii="Cambria" w:hAnsi="Cambria"/>
          <w:color w:val="000000" w:themeColor="text1"/>
          <w:sz w:val="24"/>
        </w:rPr>
      </w:pPr>
    </w:p>
    <w:p w14:paraId="7CE95AA1" w14:textId="77777777" w:rsidR="00036077" w:rsidRPr="001E60AA" w:rsidRDefault="00036077" w:rsidP="00036077">
      <w:pPr>
        <w:spacing w:line="276" w:lineRule="auto"/>
        <w:ind w:firstLine="0"/>
        <w:rPr>
          <w:rFonts w:ascii="Cambria" w:hAnsi="Cambria"/>
          <w:b/>
          <w:color w:val="000000" w:themeColor="text1"/>
          <w:sz w:val="24"/>
        </w:rPr>
      </w:pPr>
      <w:r w:rsidRPr="001E60AA">
        <w:rPr>
          <w:rFonts w:ascii="Cambria" w:hAnsi="Cambria"/>
          <w:b/>
          <w:bCs/>
          <w:color w:val="000000" w:themeColor="text1"/>
          <w:sz w:val="24"/>
        </w:rPr>
        <w:t xml:space="preserve">RESULT AND DISCUSSION </w:t>
      </w:r>
    </w:p>
    <w:p w14:paraId="3E1D24C3" w14:textId="77777777" w:rsidR="00EA22DC" w:rsidRPr="00EA22DC" w:rsidRDefault="00EA22DC" w:rsidP="00EA22DC">
      <w:pPr>
        <w:spacing w:line="276" w:lineRule="auto"/>
        <w:ind w:firstLine="0"/>
        <w:rPr>
          <w:rFonts w:ascii="Cambria" w:hAnsi="Cambria"/>
          <w:bCs/>
          <w:color w:val="000000" w:themeColor="text1"/>
          <w:sz w:val="24"/>
          <w:lang w:val="en-US"/>
        </w:rPr>
      </w:pPr>
      <w:r w:rsidRPr="00EA22DC">
        <w:rPr>
          <w:rFonts w:ascii="Cambria" w:hAnsi="Cambria"/>
          <w:bCs/>
          <w:color w:val="000000" w:themeColor="text1"/>
          <w:sz w:val="24"/>
          <w:lang w:val="en-US"/>
        </w:rPr>
        <w:t>A. The Muhammadiyah COVID-19 Command Center (MCCC) as a Manifestation of Total People’s Defense</w:t>
      </w:r>
    </w:p>
    <w:p w14:paraId="7F1811B2" w14:textId="77777777" w:rsidR="00EA22DC" w:rsidRPr="00EA22DC" w:rsidRDefault="00EA22DC" w:rsidP="00EA22DC">
      <w:pPr>
        <w:spacing w:line="276" w:lineRule="auto"/>
        <w:ind w:firstLine="0"/>
        <w:rPr>
          <w:rFonts w:ascii="Cambria" w:hAnsi="Cambria"/>
          <w:bCs/>
          <w:color w:val="000000" w:themeColor="text1"/>
          <w:sz w:val="24"/>
          <w:lang w:val="en-US"/>
        </w:rPr>
      </w:pPr>
    </w:p>
    <w:p w14:paraId="18AEFC5B" w14:textId="77777777" w:rsidR="00EA22DC" w:rsidRDefault="00EA22DC" w:rsidP="00EA22DC">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The COVID-19 pandemic served as an unprecedented test for Indonesia’s national resilience. Unlike conventional wars, this crisis required no weapons but demanded the nation’s capacity to organize social, moral, and spiritual solidarity (Nurhadi et al., 2023). Within this context, Muhammadiyah emerged as a strategic civil actor that strengthened the nation’s defensive capacity through community-based mobilization.</w:t>
      </w:r>
    </w:p>
    <w:p w14:paraId="7F697821" w14:textId="77777777" w:rsidR="00EA22DC" w:rsidRDefault="00EA22DC" w:rsidP="00EA22DC">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Muhammadiyah’s rapid establishment of the Muhammadiyah COVID-19 Command Center (MCCC) on March 5, 2020, demonstrated its institutional agility and capacity for coordinated crisis response (Djalante et al., 2020). MCCC was created under the auspices of the Muhammadiyah Disaster Management Center (MDMC) to serve as an integrated command unit for pandemic response. This decision reflected the organization’s ability to transform its moral and religious values into systematic, measurable social action—aligning humanitarian missions with national defense principles.</w:t>
      </w:r>
    </w:p>
    <w:p w14:paraId="5AB0AA2B" w14:textId="77777777" w:rsidR="00EA22DC" w:rsidRDefault="00EA22DC" w:rsidP="00EA22DC">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The emergence of MCCC illustrated how a religious organization could operationalize Total People’s Defense (SISHANTA) in a non-military context. Its structure was both decentralized and community-driven, mobilizing resources from Muhammadiyah’s nationwide network of hospitals, schools, mosques, and local chapters. This grassroots approach enabled rapid, adaptive responses that were contextually sensitive to local needs</w:t>
      </w:r>
      <w:r>
        <w:rPr>
          <w:rFonts w:ascii="Cambria" w:hAnsi="Cambria"/>
          <w:bCs/>
          <w:color w:val="000000" w:themeColor="text1"/>
          <w:sz w:val="24"/>
          <w:lang w:val="en-US"/>
        </w:rPr>
        <w:t xml:space="preserve">, </w:t>
      </w:r>
      <w:r w:rsidRPr="00EA22DC">
        <w:rPr>
          <w:rFonts w:ascii="Cambria" w:hAnsi="Cambria"/>
          <w:bCs/>
          <w:color w:val="000000" w:themeColor="text1"/>
          <w:sz w:val="24"/>
          <w:lang w:val="en-US"/>
        </w:rPr>
        <w:t>contrasting with the often bureaucratic, centralized mechanisms of state agencies.</w:t>
      </w:r>
    </w:p>
    <w:p w14:paraId="3E64DAC6" w14:textId="77777777" w:rsidR="00EA22DC" w:rsidRDefault="00EA22DC" w:rsidP="00EA22DC">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At the heart of MCCC’s operations lay a moral imperative to protect human life (defense of life). Amid widespread fear and uncertainty during the early months of the pandemic, MCCC issued practical health and funeral protocols grounded in both scientific and Islamic principles. This ensured that COVID-19 victims were treated with dignity while upholding public health standards. The initiative represented a concrete form of civil participation in national defense, where community institutions took shared responsibility for citizens’ safety and wellbeing.</w:t>
      </w:r>
    </w:p>
    <w:p w14:paraId="179C41C1" w14:textId="77777777" w:rsidR="00EA22DC" w:rsidRDefault="00EA22DC" w:rsidP="00EA22DC">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lastRenderedPageBreak/>
        <w:t>Muhammadiyah’s mobilization through MCCC can thus be interpreted as a grassroots embodiment of total defense, where resilience is built through civic coordination, philanthropy, and public education. The organization demonstrated that national defense extends beyond military preparedness; it also includes collective moral commitment, scientific literacy, and humanitarian solidarity.</w:t>
      </w:r>
    </w:p>
    <w:p w14:paraId="43E02867" w14:textId="77777777" w:rsidR="00EA22DC" w:rsidRDefault="00EA22DC" w:rsidP="00EA22DC">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Through its extensive network, MCCC coordinated over 80 Muhammadiyah–‘Aisyiyah hospitals, hundreds of educational institutions, and numerous community centers across the archipelago (Kusnadi et al., 2020). Its actions were framed not only as health interventions but as acts of national service, reinforcing public trust and bridging the gap between the state and society. This aligns with the philosophical foundations of SISHANTA, which emphasize the mobilization of all national resources in safeguarding the people’s welfare.</w:t>
      </w:r>
    </w:p>
    <w:p w14:paraId="549B3C7B" w14:textId="0B51016E" w:rsidR="00EA22DC" w:rsidRDefault="00EA22DC" w:rsidP="00EA22DC">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Importantly, Muhammadiyah played a dual role: as a partner of the state and as a moral counterbalance to public policy. While collaborating closely with government agencies on vaccination programs, public education, and social protection, Muhammadiyah also exercised critical oversight of policies perceived as unscientific or detrimental to public safety (Nurhadi et al., 2023). This moral oversight exemplified a mature civil society posture within the defense ecosystem</w:t>
      </w:r>
      <w:r>
        <w:rPr>
          <w:rFonts w:ascii="Cambria" w:hAnsi="Cambria"/>
          <w:bCs/>
          <w:color w:val="000000" w:themeColor="text1"/>
          <w:sz w:val="24"/>
          <w:lang w:val="en-US"/>
        </w:rPr>
        <w:t xml:space="preserve">, </w:t>
      </w:r>
      <w:r w:rsidRPr="00EA22DC">
        <w:rPr>
          <w:rFonts w:ascii="Cambria" w:hAnsi="Cambria"/>
          <w:bCs/>
          <w:color w:val="000000" w:themeColor="text1"/>
          <w:sz w:val="24"/>
          <w:lang w:val="en-US"/>
        </w:rPr>
        <w:t>maintaining both cooperation and constructive critique in service of the nation.</w:t>
      </w:r>
    </w:p>
    <w:p w14:paraId="4D8CEE29" w14:textId="77777777" w:rsidR="00EA22DC" w:rsidRDefault="00EA22DC" w:rsidP="00EA22DC">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Philanthropic action through Lazismu, Muhammadiyah’s charitable arm, constituted another strategic pillar of social defense. During lockdowns and movement restrictions (PSBB and PPKM), Lazismu distributed self-isolation kits, oxygen cylinders, and microbusiness aid to economically affected households. These initiatives not only alleviated economic suffering but also strengthened social cohesion and public resilience by fostering empathy and shared responsibility—values deeply embedded in the Islamic principles of ta‘āwun (mutual assistance) and ukhuwah insaniyah (human fraternity).</w:t>
      </w:r>
    </w:p>
    <w:p w14:paraId="6A973E27" w14:textId="5421DFC5" w:rsidR="00EA22DC" w:rsidRDefault="00EA22DC" w:rsidP="00EA22DC">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The organization’s religious adaptability also played a crucial role in mitigating societal disruption. Through the Majelis Tarjih (Religious Affairs Council), Muhammadiyah issued guidelines for worship during the pandemic, harmonizing religious obligations with public health measures. This integration of faith, science, and ethics positioned religion as an epistemic resource supporting national policy (Muttaqin, 2021). The theological principle of hifz al-nafs (protection of life) became the moral foundation of Muhammadiyah’s approach</w:t>
      </w:r>
      <w:r>
        <w:rPr>
          <w:rFonts w:ascii="Cambria" w:hAnsi="Cambria"/>
          <w:bCs/>
          <w:color w:val="000000" w:themeColor="text1"/>
          <w:sz w:val="24"/>
          <w:lang w:val="en-US"/>
        </w:rPr>
        <w:t xml:space="preserve">, </w:t>
      </w:r>
      <w:r w:rsidRPr="00EA22DC">
        <w:rPr>
          <w:rFonts w:ascii="Cambria" w:hAnsi="Cambria"/>
          <w:bCs/>
          <w:color w:val="000000" w:themeColor="text1"/>
          <w:sz w:val="24"/>
          <w:lang w:val="en-US"/>
        </w:rPr>
        <w:t>demonstrating how religious interpretation can serve the broader objectives of national resilience.</w:t>
      </w:r>
    </w:p>
    <w:p w14:paraId="1CEDE0D7" w14:textId="45579A79" w:rsidR="00EA22DC" w:rsidRPr="00EA22DC" w:rsidRDefault="00EA22DC" w:rsidP="00EA22DC">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Institutionally, Muhammadiyah’s modern bureaucratic structure and coordinated communication systems enabled swift decision-making and resource mobilization. The combination of hierarchical organization and horizontal solidarity allowed MCCC to operate as an effective “civil defense unit” within Indonesia’s total defense architecture. These structural features</w:t>
      </w:r>
      <w:r>
        <w:rPr>
          <w:rFonts w:ascii="Cambria" w:hAnsi="Cambria"/>
          <w:bCs/>
          <w:color w:val="000000" w:themeColor="text1"/>
          <w:sz w:val="24"/>
          <w:lang w:val="en-US"/>
        </w:rPr>
        <w:t xml:space="preserve">, </w:t>
      </w:r>
      <w:r w:rsidRPr="00EA22DC">
        <w:rPr>
          <w:rFonts w:ascii="Cambria" w:hAnsi="Cambria"/>
          <w:bCs/>
          <w:color w:val="000000" w:themeColor="text1"/>
          <w:sz w:val="24"/>
          <w:lang w:val="en-US"/>
        </w:rPr>
        <w:t>complemented by moral legitimacy and community trust</w:t>
      </w:r>
      <w:r>
        <w:rPr>
          <w:rFonts w:ascii="Cambria" w:hAnsi="Cambria"/>
          <w:bCs/>
          <w:color w:val="000000" w:themeColor="text1"/>
          <w:sz w:val="24"/>
          <w:lang w:val="en-US"/>
        </w:rPr>
        <w:t xml:space="preserve">, </w:t>
      </w:r>
      <w:r w:rsidRPr="00EA22DC">
        <w:rPr>
          <w:rFonts w:ascii="Cambria" w:hAnsi="Cambria"/>
          <w:bCs/>
          <w:color w:val="000000" w:themeColor="text1"/>
          <w:sz w:val="24"/>
          <w:lang w:val="en-US"/>
        </w:rPr>
        <w:t>exemplify how non-state actors can assume strategic roles traditionally associated with the state.</w:t>
      </w:r>
    </w:p>
    <w:p w14:paraId="6CD7558B" w14:textId="77777777" w:rsidR="00EA22DC" w:rsidRPr="00EA22DC" w:rsidRDefault="00EA22DC" w:rsidP="00EA22DC">
      <w:pPr>
        <w:spacing w:line="276" w:lineRule="auto"/>
        <w:ind w:firstLine="0"/>
        <w:rPr>
          <w:rFonts w:ascii="Cambria" w:hAnsi="Cambria"/>
          <w:bCs/>
          <w:color w:val="000000" w:themeColor="text1"/>
          <w:sz w:val="24"/>
          <w:lang w:val="en-US"/>
        </w:rPr>
      </w:pPr>
    </w:p>
    <w:p w14:paraId="17F71C67" w14:textId="1BF9B39A" w:rsidR="00EA22DC" w:rsidRPr="00EA22DC" w:rsidRDefault="00EA22DC" w:rsidP="00EA22DC">
      <w:pPr>
        <w:spacing w:line="276" w:lineRule="auto"/>
        <w:ind w:firstLine="0"/>
        <w:rPr>
          <w:rFonts w:ascii="Cambria" w:hAnsi="Cambria"/>
          <w:bCs/>
          <w:color w:val="000000" w:themeColor="text1"/>
          <w:sz w:val="24"/>
          <w:lang w:val="en-US"/>
        </w:rPr>
      </w:pPr>
      <w:r w:rsidRPr="00EA22DC">
        <w:rPr>
          <w:rFonts w:ascii="Cambria" w:hAnsi="Cambria"/>
          <w:bCs/>
          <w:color w:val="000000" w:themeColor="text1"/>
          <w:sz w:val="24"/>
          <w:lang w:val="en-US"/>
        </w:rPr>
        <w:lastRenderedPageBreak/>
        <w:t>In essence, Muhammadiyah’s MCCC functioned as a prototype of non-military defense in practice. By integrating humanitarian values, religious ethics, and professional management, MCCC demonstrated that Total People’s Defense is not confined to armed resistance but can be actualized through social preparedness, civic empowerment, and moral solidarity. The Muhammadiyah model thus broadens the theoretical scope of national defense to include the moral and social dimensions of collective resilience.</w:t>
      </w:r>
    </w:p>
    <w:p w14:paraId="49775295" w14:textId="77777777" w:rsidR="00EA22DC" w:rsidRDefault="00EA22DC" w:rsidP="00036077">
      <w:pPr>
        <w:spacing w:line="276" w:lineRule="auto"/>
        <w:ind w:firstLine="0"/>
        <w:rPr>
          <w:rFonts w:ascii="Cambria" w:hAnsi="Cambria"/>
          <w:b/>
          <w:color w:val="000000" w:themeColor="text1"/>
          <w:sz w:val="24"/>
          <w:lang w:val="en-US"/>
        </w:rPr>
      </w:pPr>
    </w:p>
    <w:p w14:paraId="5149DD73" w14:textId="77777777" w:rsidR="00EA22DC" w:rsidRPr="00EA22DC" w:rsidRDefault="00EA22DC" w:rsidP="00EA22DC">
      <w:pPr>
        <w:spacing w:line="276" w:lineRule="auto"/>
        <w:ind w:firstLine="0"/>
        <w:rPr>
          <w:rFonts w:ascii="Cambria" w:hAnsi="Cambria"/>
          <w:bCs/>
          <w:color w:val="000000" w:themeColor="text1"/>
          <w:sz w:val="24"/>
          <w:lang w:val="en-US"/>
        </w:rPr>
      </w:pPr>
      <w:r w:rsidRPr="00EA22DC">
        <w:rPr>
          <w:rFonts w:ascii="Cambria" w:hAnsi="Cambria"/>
          <w:bCs/>
          <w:color w:val="000000" w:themeColor="text1"/>
          <w:sz w:val="24"/>
          <w:lang w:val="en-US"/>
        </w:rPr>
        <w:t>B. The Three Pillars of Muhammadiyah’s Total Defense Strategy during the COVID-19 Pandemic</w:t>
      </w:r>
    </w:p>
    <w:p w14:paraId="19C15B52" w14:textId="77777777" w:rsidR="00EA22DC" w:rsidRPr="00EA22DC" w:rsidRDefault="00EA22DC" w:rsidP="00EA22DC">
      <w:pPr>
        <w:spacing w:line="276" w:lineRule="auto"/>
        <w:ind w:firstLine="0"/>
        <w:rPr>
          <w:rFonts w:ascii="Cambria" w:hAnsi="Cambria"/>
          <w:bCs/>
          <w:color w:val="000000" w:themeColor="text1"/>
          <w:sz w:val="24"/>
          <w:lang w:val="en-US"/>
        </w:rPr>
      </w:pPr>
    </w:p>
    <w:p w14:paraId="29D92AC3" w14:textId="5F15507D" w:rsidR="00EA22DC" w:rsidRDefault="00EA22DC" w:rsidP="00DA4D54">
      <w:pPr>
        <w:spacing w:line="276" w:lineRule="auto"/>
        <w:ind w:firstLine="426"/>
        <w:rPr>
          <w:rFonts w:ascii="Cambria" w:hAnsi="Cambria"/>
          <w:bCs/>
          <w:color w:val="000000" w:themeColor="text1"/>
          <w:sz w:val="24"/>
          <w:lang w:val="en-US"/>
        </w:rPr>
      </w:pPr>
      <w:r w:rsidRPr="00EA22DC">
        <w:rPr>
          <w:rFonts w:ascii="Cambria" w:hAnsi="Cambria"/>
          <w:bCs/>
          <w:color w:val="000000" w:themeColor="text1"/>
          <w:sz w:val="24"/>
          <w:lang w:val="en-US"/>
        </w:rPr>
        <w:t>Muhammadiyah’s total defense strategy during the COVID-19 pandemic was realized through a multidimensional approach encompassing three fundamental sectors: health, education, and economy. These three domains formed an interrelated and mutually reinforcing system of social and religious action designed to strengthen community resilience amid the multidimensional crisis. Rather than a reactive response to the pandemic, Muhammadiyah’s actions represented a systematic expression of the organization’s core ethos</w:t>
      </w:r>
      <w:r w:rsidR="00DA4D54">
        <w:rPr>
          <w:rFonts w:ascii="Cambria" w:hAnsi="Cambria"/>
          <w:bCs/>
          <w:color w:val="000000" w:themeColor="text1"/>
          <w:sz w:val="24"/>
          <w:lang w:val="en-US"/>
        </w:rPr>
        <w:t xml:space="preserve">, </w:t>
      </w:r>
      <w:r w:rsidRPr="00EA22DC">
        <w:rPr>
          <w:rFonts w:ascii="Cambria" w:hAnsi="Cambria"/>
          <w:bCs/>
          <w:color w:val="000000" w:themeColor="text1"/>
          <w:sz w:val="24"/>
          <w:lang w:val="en-US"/>
        </w:rPr>
        <w:t>Islam Berkemajuan (Progressive Islam)</w:t>
      </w:r>
      <w:r w:rsidR="00DA4D54">
        <w:rPr>
          <w:rFonts w:ascii="Cambria" w:hAnsi="Cambria"/>
          <w:bCs/>
          <w:color w:val="000000" w:themeColor="text1"/>
          <w:sz w:val="24"/>
          <w:lang w:val="en-US"/>
        </w:rPr>
        <w:t xml:space="preserve">, </w:t>
      </w:r>
      <w:r w:rsidRPr="00EA22DC">
        <w:rPr>
          <w:rFonts w:ascii="Cambria" w:hAnsi="Cambria"/>
          <w:bCs/>
          <w:color w:val="000000" w:themeColor="text1"/>
          <w:sz w:val="24"/>
          <w:lang w:val="en-US"/>
        </w:rPr>
        <w:t>which integrates faith, knowledge, and social service as the foundation of civic duty (Nashir, 2020). Within the framework of Total People’s Defense (SISHANTA), this multidimensional strategy demonstrates that national security is inseparable from the social resilience and moral integrity of its people.</w:t>
      </w:r>
    </w:p>
    <w:p w14:paraId="3A3151A5" w14:textId="77777777" w:rsidR="001B3840" w:rsidRPr="001E60AA" w:rsidRDefault="001B3840" w:rsidP="001B3840">
      <w:pPr>
        <w:spacing w:line="276" w:lineRule="auto"/>
        <w:ind w:firstLine="0"/>
        <w:rPr>
          <w:rFonts w:ascii="Cambria" w:hAnsi="Cambria"/>
          <w:bCs/>
          <w:color w:val="000000" w:themeColor="text1"/>
          <w:sz w:val="24"/>
        </w:rPr>
      </w:pPr>
      <w:r w:rsidRPr="005C3D63">
        <w:rPr>
          <w:rFonts w:ascii="Cambria" w:hAnsi="Cambria"/>
          <w:bCs/>
          <w:noProof/>
          <w:color w:val="000000" w:themeColor="text1"/>
          <w:sz w:val="30"/>
          <w:szCs w:val="30"/>
        </w:rPr>
        <w:drawing>
          <wp:inline distT="0" distB="0" distL="0" distR="0" wp14:anchorId="14CF82D5" wp14:editId="2AE980C5">
            <wp:extent cx="5486400" cy="3200400"/>
            <wp:effectExtent l="0" t="57150" r="0"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1160521" w14:textId="163F3D08" w:rsidR="001B3840" w:rsidRDefault="001B3840" w:rsidP="001B3840">
      <w:pPr>
        <w:spacing w:line="276" w:lineRule="auto"/>
        <w:ind w:firstLine="0"/>
        <w:rPr>
          <w:rFonts w:ascii="Cambria" w:hAnsi="Cambria"/>
          <w:bCs/>
          <w:color w:val="000000" w:themeColor="text1"/>
          <w:sz w:val="24"/>
          <w:lang w:val="en-US"/>
        </w:rPr>
      </w:pPr>
      <w:r w:rsidRPr="00DA4D54">
        <w:rPr>
          <w:rFonts w:ascii="Cambria" w:hAnsi="Cambria"/>
          <w:bCs/>
          <w:color w:val="000000" w:themeColor="text1"/>
          <w:sz w:val="24"/>
          <w:lang w:val="en-US"/>
        </w:rPr>
        <w:t>Figure 1. The Three Pillars of Muhammadiyah’s Total Defense Strategy in Responding to the COVID-19 Pandemic</w:t>
      </w:r>
    </w:p>
    <w:p w14:paraId="13152617" w14:textId="77777777" w:rsidR="001B3840" w:rsidRPr="001E60AA" w:rsidRDefault="001B3840" w:rsidP="001B3840">
      <w:pPr>
        <w:spacing w:line="276" w:lineRule="auto"/>
        <w:ind w:firstLine="0"/>
        <w:rPr>
          <w:rFonts w:ascii="Cambria" w:hAnsi="Cambria"/>
          <w:bCs/>
          <w:color w:val="000000" w:themeColor="text1"/>
          <w:sz w:val="24"/>
        </w:rPr>
      </w:pPr>
    </w:p>
    <w:p w14:paraId="3BFBBBC4" w14:textId="77777777" w:rsidR="00EA22DC" w:rsidRPr="00EA22DC" w:rsidRDefault="00EA22DC" w:rsidP="00EA22DC">
      <w:pPr>
        <w:spacing w:line="276" w:lineRule="auto"/>
        <w:ind w:firstLine="0"/>
        <w:rPr>
          <w:rFonts w:ascii="Cambria" w:hAnsi="Cambria"/>
          <w:bCs/>
          <w:color w:val="000000" w:themeColor="text1"/>
          <w:sz w:val="24"/>
          <w:lang w:val="en-US"/>
        </w:rPr>
      </w:pPr>
      <w:r w:rsidRPr="00EA22DC">
        <w:rPr>
          <w:rFonts w:ascii="Cambria" w:hAnsi="Cambria"/>
          <w:bCs/>
          <w:color w:val="000000" w:themeColor="text1"/>
          <w:sz w:val="24"/>
          <w:lang w:val="en-US"/>
        </w:rPr>
        <w:t>1. Health Sector: Defense of Life</w:t>
      </w:r>
    </w:p>
    <w:p w14:paraId="28636D8C" w14:textId="7A02BE9F" w:rsidR="00DA4D54" w:rsidRDefault="00EA22DC" w:rsidP="00DA4D54">
      <w:pPr>
        <w:spacing w:line="276" w:lineRule="auto"/>
        <w:ind w:firstLine="426"/>
        <w:rPr>
          <w:rFonts w:ascii="Cambria" w:hAnsi="Cambria"/>
          <w:bCs/>
          <w:color w:val="000000" w:themeColor="text1"/>
          <w:sz w:val="24"/>
          <w:lang w:val="en-US"/>
        </w:rPr>
      </w:pPr>
      <w:r w:rsidRPr="00EA22DC">
        <w:rPr>
          <w:rFonts w:ascii="Cambria" w:hAnsi="Cambria"/>
          <w:bCs/>
          <w:color w:val="000000" w:themeColor="text1"/>
          <w:sz w:val="24"/>
          <w:lang w:val="en-US"/>
        </w:rPr>
        <w:t xml:space="preserve">In the health sector, Muhammadiyah mobilized its extensive network of hospitals to serve as the frontline institutions in combating the pandemic. More than 80 </w:t>
      </w:r>
      <w:r w:rsidRPr="00EA22DC">
        <w:rPr>
          <w:rFonts w:ascii="Cambria" w:hAnsi="Cambria"/>
          <w:bCs/>
          <w:color w:val="000000" w:themeColor="text1"/>
          <w:sz w:val="24"/>
          <w:lang w:val="en-US"/>
        </w:rPr>
        <w:lastRenderedPageBreak/>
        <w:t>Muhammadiyah–‘Aisyiyah hospitals across Indonesia were designated as COVID-19 referral centers, providing treatment, isolation facilities, and emergency medical services (Ichsan, 2022). This large-scale mobilization was coordinated through the Muhammadiyah COVID-19 Command Center (MCCC)</w:t>
      </w:r>
      <w:r w:rsidR="00DA4D54">
        <w:rPr>
          <w:rFonts w:ascii="Cambria" w:hAnsi="Cambria"/>
          <w:bCs/>
          <w:color w:val="000000" w:themeColor="text1"/>
          <w:sz w:val="24"/>
          <w:lang w:val="en-US"/>
        </w:rPr>
        <w:t xml:space="preserve">. </w:t>
      </w:r>
    </w:p>
    <w:p w14:paraId="61D7AB35" w14:textId="5DDC642B" w:rsidR="00DA4D54" w:rsidRDefault="00EA22DC" w:rsidP="00DA4D54">
      <w:pPr>
        <w:spacing w:line="276" w:lineRule="auto"/>
        <w:ind w:firstLine="426"/>
        <w:rPr>
          <w:rFonts w:ascii="Cambria" w:hAnsi="Cambria"/>
          <w:bCs/>
          <w:color w:val="000000" w:themeColor="text1"/>
          <w:sz w:val="24"/>
          <w:lang w:val="en-US"/>
        </w:rPr>
      </w:pPr>
      <w:r w:rsidRPr="00EA22DC">
        <w:rPr>
          <w:rFonts w:ascii="Cambria" w:hAnsi="Cambria"/>
          <w:bCs/>
          <w:color w:val="000000" w:themeColor="text1"/>
          <w:sz w:val="24"/>
          <w:lang w:val="en-US"/>
        </w:rPr>
        <w:t>MCCC’s initiatives included supporting the national vaccination program, developing Islamic-compliant funeral management guidelines, and offering telemedicine and public health consultations (Sadikin, 2021). These efforts exemplify defense of life</w:t>
      </w:r>
      <w:r w:rsidR="00DA4D54">
        <w:rPr>
          <w:rFonts w:ascii="Cambria" w:hAnsi="Cambria"/>
          <w:bCs/>
          <w:color w:val="000000" w:themeColor="text1"/>
          <w:sz w:val="24"/>
          <w:lang w:val="en-US"/>
        </w:rPr>
        <w:t xml:space="preserve">, </w:t>
      </w:r>
      <w:r w:rsidRPr="00EA22DC">
        <w:rPr>
          <w:rFonts w:ascii="Cambria" w:hAnsi="Cambria"/>
          <w:bCs/>
          <w:color w:val="000000" w:themeColor="text1"/>
          <w:sz w:val="24"/>
          <w:lang w:val="en-US"/>
        </w:rPr>
        <w:t>a moral and operational commitment to safeguard human existence as an integral dimension of national defense. The proactive engagement of Muhammadiyah hospitals and medical personnel contributed not only to saving lives but also to maintaining societal stability at a time when public institutions were overwhelmed.</w:t>
      </w:r>
    </w:p>
    <w:p w14:paraId="1D3A32E9" w14:textId="7FC2738B" w:rsidR="00EA22DC" w:rsidRPr="00EA22DC" w:rsidRDefault="00EA22DC" w:rsidP="00DA4D54">
      <w:pPr>
        <w:spacing w:line="276" w:lineRule="auto"/>
        <w:ind w:firstLine="426"/>
        <w:rPr>
          <w:rFonts w:ascii="Cambria" w:hAnsi="Cambria"/>
          <w:bCs/>
          <w:color w:val="000000" w:themeColor="text1"/>
          <w:sz w:val="24"/>
          <w:lang w:val="en-US"/>
        </w:rPr>
      </w:pPr>
      <w:r w:rsidRPr="00EA22DC">
        <w:rPr>
          <w:rFonts w:ascii="Cambria" w:hAnsi="Cambria"/>
          <w:bCs/>
          <w:color w:val="000000" w:themeColor="text1"/>
          <w:sz w:val="24"/>
          <w:lang w:val="en-US"/>
        </w:rPr>
        <w:t>Through these actions, Muhammadiyah positioned health as a strategic domain of civil defense, emphasizing that protecting the population’s wellbeing constitutes a core element of national resilience. The organization’s medical mobilization demonstrated how non-state actors could serve as essential complements to state capacity, embodying the collaborative spirit of SISHANTA.</w:t>
      </w:r>
    </w:p>
    <w:p w14:paraId="5CBFC75F" w14:textId="77777777" w:rsidR="00EA22DC" w:rsidRPr="00EA22DC" w:rsidRDefault="00EA22DC" w:rsidP="00EA22DC">
      <w:pPr>
        <w:spacing w:line="276" w:lineRule="auto"/>
        <w:ind w:firstLine="0"/>
        <w:rPr>
          <w:rFonts w:ascii="Cambria" w:hAnsi="Cambria"/>
          <w:bCs/>
          <w:color w:val="000000" w:themeColor="text1"/>
          <w:sz w:val="24"/>
          <w:lang w:val="en-US"/>
        </w:rPr>
      </w:pPr>
    </w:p>
    <w:p w14:paraId="4450603A" w14:textId="77777777" w:rsidR="00EA22DC" w:rsidRPr="00EA22DC" w:rsidRDefault="00EA22DC" w:rsidP="00EA22DC">
      <w:pPr>
        <w:spacing w:line="276" w:lineRule="auto"/>
        <w:ind w:firstLine="0"/>
        <w:rPr>
          <w:rFonts w:ascii="Cambria" w:hAnsi="Cambria"/>
          <w:bCs/>
          <w:color w:val="000000" w:themeColor="text1"/>
          <w:sz w:val="24"/>
          <w:lang w:val="en-US"/>
        </w:rPr>
      </w:pPr>
      <w:r w:rsidRPr="00EA22DC">
        <w:rPr>
          <w:rFonts w:ascii="Cambria" w:hAnsi="Cambria"/>
          <w:bCs/>
          <w:color w:val="000000" w:themeColor="text1"/>
          <w:sz w:val="24"/>
          <w:lang w:val="en-US"/>
        </w:rPr>
        <w:t>2. Education Sector: Defense of Knowledge</w:t>
      </w:r>
    </w:p>
    <w:p w14:paraId="7A3CC515" w14:textId="2ECA5B66" w:rsidR="00DA4D54" w:rsidRDefault="00EA22DC" w:rsidP="00DA4D54">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In the education sector, Muhammadiyah activated its vast educational network</w:t>
      </w:r>
      <w:r w:rsidR="00DA4D54">
        <w:rPr>
          <w:rFonts w:ascii="Cambria" w:hAnsi="Cambria"/>
          <w:bCs/>
          <w:color w:val="000000" w:themeColor="text1"/>
          <w:sz w:val="24"/>
          <w:lang w:val="en-US"/>
        </w:rPr>
        <w:t xml:space="preserve">, </w:t>
      </w:r>
      <w:r w:rsidRPr="00EA22DC">
        <w:rPr>
          <w:rFonts w:ascii="Cambria" w:hAnsi="Cambria"/>
          <w:bCs/>
          <w:color w:val="000000" w:themeColor="text1"/>
          <w:sz w:val="24"/>
          <w:lang w:val="en-US"/>
        </w:rPr>
        <w:t>comprising over 3,300 primary and secondary schools and 172 universities</w:t>
      </w:r>
      <w:r w:rsidR="00DA4D54">
        <w:rPr>
          <w:rFonts w:ascii="Cambria" w:hAnsi="Cambria"/>
          <w:bCs/>
          <w:color w:val="000000" w:themeColor="text1"/>
          <w:sz w:val="24"/>
          <w:lang w:val="en-US"/>
        </w:rPr>
        <w:t xml:space="preserve">, </w:t>
      </w:r>
      <w:r w:rsidRPr="00EA22DC">
        <w:rPr>
          <w:rFonts w:ascii="Cambria" w:hAnsi="Cambria"/>
          <w:bCs/>
          <w:color w:val="000000" w:themeColor="text1"/>
          <w:sz w:val="24"/>
          <w:lang w:val="en-US"/>
        </w:rPr>
        <w:t>to sustain learning continuity and promote public awareness throughout the pandemic. Educational institutions became key instruments for building scientific literacy, moral awareness, and adaptive capacity among students and the broader community (Baidhawy, 2015).</w:t>
      </w:r>
    </w:p>
    <w:p w14:paraId="4A58C209" w14:textId="77777777" w:rsidR="00DA4D54" w:rsidRDefault="00EA22DC" w:rsidP="00DA4D54">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When public schools faced closures due to health restrictions, Muhammadiyah rapidly transitioned to digital-based learning systems, trained teachers in online pedagogy, and developed emergency curricula emphasizing empathy, solidarity, and resilience. Educational activities extended beyond classrooms, incorporating community outreach and public campaigns on health protocols, vaccination, and hygiene practices.</w:t>
      </w:r>
    </w:p>
    <w:p w14:paraId="3C5067B8" w14:textId="247F7FDB" w:rsidR="00EA22DC" w:rsidRPr="00EA22DC" w:rsidRDefault="00EA22DC" w:rsidP="00DA4D54">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This educational activism embodies the principle of defense of knowledge, in which awareness and intellectual preparedness become vital resources for social endurance. By integrating religious reasoning with scientific understanding, Muhammadiyah’s educational initiatives countered misinformation and promoted rational, ethical responses to the crisis. Thus, education functioned as a defensive shield against fear, ignorance, and disinformation, which are themselves threats to social stability.</w:t>
      </w:r>
    </w:p>
    <w:p w14:paraId="73A7CDF0" w14:textId="77777777" w:rsidR="00EA22DC" w:rsidRPr="00EA22DC" w:rsidRDefault="00EA22DC" w:rsidP="00EA22DC">
      <w:pPr>
        <w:spacing w:line="276" w:lineRule="auto"/>
        <w:ind w:firstLine="0"/>
        <w:rPr>
          <w:rFonts w:ascii="Cambria" w:hAnsi="Cambria"/>
          <w:bCs/>
          <w:color w:val="000000" w:themeColor="text1"/>
          <w:sz w:val="24"/>
          <w:lang w:val="en-US"/>
        </w:rPr>
      </w:pPr>
    </w:p>
    <w:p w14:paraId="07947710" w14:textId="77777777" w:rsidR="00EA22DC" w:rsidRPr="00EA22DC" w:rsidRDefault="00EA22DC" w:rsidP="00EA22DC">
      <w:pPr>
        <w:spacing w:line="276" w:lineRule="auto"/>
        <w:ind w:firstLine="0"/>
        <w:rPr>
          <w:rFonts w:ascii="Cambria" w:hAnsi="Cambria"/>
          <w:bCs/>
          <w:color w:val="000000" w:themeColor="text1"/>
          <w:sz w:val="24"/>
          <w:lang w:val="en-US"/>
        </w:rPr>
      </w:pPr>
      <w:r w:rsidRPr="00EA22DC">
        <w:rPr>
          <w:rFonts w:ascii="Cambria" w:hAnsi="Cambria"/>
          <w:bCs/>
          <w:color w:val="000000" w:themeColor="text1"/>
          <w:sz w:val="24"/>
          <w:lang w:val="en-US"/>
        </w:rPr>
        <w:t>3. Economic Sector: Defense of Welfare</w:t>
      </w:r>
    </w:p>
    <w:p w14:paraId="640D648E" w14:textId="242134E5" w:rsidR="00DA4D54" w:rsidRDefault="00EA22DC" w:rsidP="00DA4D54">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The third pillar of Muhammadiyah’s defense strategy lies in the economic and welfare domain, operationalized primarily through its philanthropic institution, Lazismu (Lembaga Amil Zakat, Infaq, dan Shadaqah Muhammadiyah). During lockdowns and mobility restrictions, Lazismu became a vital engine for economic resilience and humanitarian assistance.</w:t>
      </w:r>
      <w:r w:rsidR="00DA4D54">
        <w:rPr>
          <w:rFonts w:ascii="Cambria" w:hAnsi="Cambria"/>
          <w:bCs/>
          <w:color w:val="000000" w:themeColor="text1"/>
          <w:sz w:val="24"/>
          <w:lang w:val="en-US"/>
        </w:rPr>
        <w:t xml:space="preserve"> </w:t>
      </w:r>
    </w:p>
    <w:p w14:paraId="121BB050" w14:textId="77777777" w:rsidR="00DA4D54" w:rsidRDefault="00EA22DC" w:rsidP="00DA4D54">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 xml:space="preserve">Through nationwide campaigns, Lazismu distributed food packages, oxygen cylinders, protective equipment, and direct cash transfers to vulnerable households. It also provided </w:t>
      </w:r>
      <w:r w:rsidRPr="00EA22DC">
        <w:rPr>
          <w:rFonts w:ascii="Cambria" w:hAnsi="Cambria"/>
          <w:bCs/>
          <w:color w:val="000000" w:themeColor="text1"/>
          <w:sz w:val="24"/>
          <w:lang w:val="en-US"/>
        </w:rPr>
        <w:lastRenderedPageBreak/>
        <w:t>micro-business assistance to affected entrepreneurs and supported community-based food security programs, such as the Aisyiyah Food Security Movement that empowered women to sustain local production and mutual aid (Maryati et al., 2022; Piliyati, Latief, &amp; Anwar, 2020).</w:t>
      </w:r>
    </w:p>
    <w:p w14:paraId="62CE0FD5" w14:textId="5979A52F" w:rsidR="00EA22DC" w:rsidRPr="00EA22DC" w:rsidRDefault="00EA22DC" w:rsidP="00DA4D54">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These initiatives exemplify defense of welfare</w:t>
      </w:r>
      <w:r w:rsidR="00DA4D54">
        <w:rPr>
          <w:rFonts w:ascii="Cambria" w:hAnsi="Cambria"/>
          <w:bCs/>
          <w:color w:val="000000" w:themeColor="text1"/>
          <w:sz w:val="24"/>
          <w:lang w:val="en-US"/>
        </w:rPr>
        <w:t xml:space="preserve">, </w:t>
      </w:r>
      <w:r w:rsidRPr="00EA22DC">
        <w:rPr>
          <w:rFonts w:ascii="Cambria" w:hAnsi="Cambria"/>
          <w:bCs/>
          <w:color w:val="000000" w:themeColor="text1"/>
          <w:sz w:val="24"/>
          <w:lang w:val="en-US"/>
        </w:rPr>
        <w:t>a form of social defense rooted in compassion and collective solidarity. By stabilizing household economies and strengthening community-based production, Muhammadiyah’s philanthropic networks mitigated the socioeconomic impacts of the pandemic while reinforcing public trust in civil institutions.</w:t>
      </w:r>
    </w:p>
    <w:p w14:paraId="752E1F1D" w14:textId="77777777" w:rsidR="00DA4D54" w:rsidRDefault="00EA22DC" w:rsidP="00DA4D54">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Together, the health, education, and economic dimensions constituted a holistic model of civil defense embedded within Muhammadiyah’s organizational structure and moral philosophy. This integrative strategy reflects the doctrine of Total People’s Defense as outlined in Law No. 3 of 2002 on National Defense, which mandates the involvement of all citizens and national resources in a comprehensive, continuous, and integrated defense system.</w:t>
      </w:r>
    </w:p>
    <w:p w14:paraId="4ED1FDC9" w14:textId="2566D60B" w:rsidR="00DA4D54" w:rsidRDefault="00EA22DC" w:rsidP="00DA4D54">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Traditionally, the total defense doctrine has been interpreted within a militaristic framework, emphasizing territorial defense and mobilization of reserve components. However, the COVID-19 crisis redefined the concept of threat—demonstrating that pandemics, environmental degradation, and information disorder can challenge national stability as profoundly as armed conflict. Muhammadiyah’s multidimensional response provided empirical evidence that faith-based organizations can effectively operationalize SISHANTA through humanitarian, social, and educational engagement</w:t>
      </w:r>
      <w:r w:rsidR="00DA4D54">
        <w:rPr>
          <w:rFonts w:ascii="Cambria" w:hAnsi="Cambria"/>
          <w:bCs/>
          <w:color w:val="000000" w:themeColor="text1"/>
          <w:sz w:val="24"/>
          <w:lang w:val="en-US"/>
        </w:rPr>
        <w:t xml:space="preserve">. </w:t>
      </w:r>
    </w:p>
    <w:p w14:paraId="29E46E02" w14:textId="5D60D3F6" w:rsidR="00EA22DC" w:rsidRPr="00EA22DC" w:rsidRDefault="00EA22DC" w:rsidP="00DA4D54">
      <w:pPr>
        <w:spacing w:line="276" w:lineRule="auto"/>
        <w:rPr>
          <w:rFonts w:ascii="Cambria" w:hAnsi="Cambria"/>
          <w:bCs/>
          <w:color w:val="000000" w:themeColor="text1"/>
          <w:sz w:val="24"/>
          <w:lang w:val="en-US"/>
        </w:rPr>
      </w:pPr>
      <w:r w:rsidRPr="00EA22DC">
        <w:rPr>
          <w:rFonts w:ascii="Cambria" w:hAnsi="Cambria"/>
          <w:bCs/>
          <w:color w:val="000000" w:themeColor="text1"/>
          <w:sz w:val="24"/>
          <w:lang w:val="en-US"/>
        </w:rPr>
        <w:t>As Djalante et al. (2020) observed, the effectiveness of pandemic response in Indonesia depended largely on collaboration between the state and civil society. Muhammadiyah’s MCCC successfully bridged gaps in public coordination, embodying the spirit of civil defense through rapid mobilization and evidence-based decision-making. The organization’s structure, legitimacy, and values allowed it to function as both a moral partner and strategic actor within Indonesia’s broader defense ecosystem.</w:t>
      </w:r>
      <w:r w:rsidR="00DA4D54">
        <w:rPr>
          <w:rFonts w:ascii="Cambria" w:hAnsi="Cambria"/>
          <w:bCs/>
          <w:color w:val="000000" w:themeColor="text1"/>
          <w:sz w:val="24"/>
          <w:lang w:val="en-US"/>
        </w:rPr>
        <w:t xml:space="preserve"> </w:t>
      </w:r>
      <w:r w:rsidRPr="00EA22DC">
        <w:rPr>
          <w:rFonts w:ascii="Cambria" w:hAnsi="Cambria"/>
          <w:bCs/>
          <w:color w:val="000000" w:themeColor="text1"/>
          <w:sz w:val="24"/>
          <w:lang w:val="en-US"/>
        </w:rPr>
        <w:t>Ultimately, Muhammadiyah’s multidimensional strategy transformed the pandemic into a laboratory for total defense, illustrating that national resilience is not limited to military preparedness but also derives from moral conviction, social cohesion, and civic participation. In this sense, Muhammadiyah’s response represents a civilizational model of defense</w:t>
      </w:r>
      <w:r w:rsidR="00DA4D54">
        <w:rPr>
          <w:rFonts w:ascii="Cambria" w:hAnsi="Cambria"/>
          <w:bCs/>
          <w:color w:val="000000" w:themeColor="text1"/>
          <w:sz w:val="24"/>
          <w:lang w:val="en-US"/>
        </w:rPr>
        <w:t xml:space="preserve">, </w:t>
      </w:r>
      <w:r w:rsidRPr="00EA22DC">
        <w:rPr>
          <w:rFonts w:ascii="Cambria" w:hAnsi="Cambria"/>
          <w:bCs/>
          <w:color w:val="000000" w:themeColor="text1"/>
          <w:sz w:val="24"/>
          <w:lang w:val="en-US"/>
        </w:rPr>
        <w:t>one that defends life, knowledge, and welfare as interdependent pillars of national security and human dignity.</w:t>
      </w:r>
    </w:p>
    <w:p w14:paraId="78C575E7" w14:textId="4A4923C4" w:rsidR="00EA22DC" w:rsidRDefault="00EA22DC" w:rsidP="00036077">
      <w:pPr>
        <w:spacing w:line="276" w:lineRule="auto"/>
        <w:ind w:firstLine="0"/>
        <w:rPr>
          <w:rFonts w:ascii="Cambria" w:hAnsi="Cambria"/>
          <w:b/>
          <w:color w:val="000000" w:themeColor="text1"/>
          <w:sz w:val="24"/>
          <w:lang w:val="en-US"/>
        </w:rPr>
      </w:pPr>
    </w:p>
    <w:p w14:paraId="577F2DD8" w14:textId="2C35CB4A" w:rsidR="00036077" w:rsidRPr="001E60AA" w:rsidRDefault="005B3C9F" w:rsidP="00036077">
      <w:pPr>
        <w:spacing w:line="276" w:lineRule="auto"/>
        <w:ind w:firstLine="0"/>
        <w:rPr>
          <w:rFonts w:ascii="Cambria" w:hAnsi="Cambria"/>
          <w:b/>
          <w:bCs/>
          <w:caps/>
          <w:color w:val="000000" w:themeColor="text1"/>
          <w:sz w:val="24"/>
          <w:szCs w:val="28"/>
          <w:lang w:val="en-US"/>
        </w:rPr>
      </w:pPr>
      <w:r w:rsidRPr="005B3C9F">
        <w:rPr>
          <w:rFonts w:ascii="Cambria" w:hAnsi="Cambria"/>
          <w:b/>
          <w:bCs/>
          <w:caps/>
          <w:color w:val="000000" w:themeColor="text1"/>
          <w:sz w:val="24"/>
          <w:szCs w:val="28"/>
          <w:lang w:val="en-US"/>
        </w:rPr>
        <w:t>CONCLUSIONS, RECOMMENDATIONS, AND LIMITATIONS</w:t>
      </w:r>
      <w:r w:rsidR="00036077" w:rsidRPr="001E60AA">
        <w:rPr>
          <w:rFonts w:ascii="Cambria" w:hAnsi="Cambria"/>
          <w:b/>
          <w:bCs/>
          <w:caps/>
          <w:color w:val="000000" w:themeColor="text1"/>
          <w:sz w:val="24"/>
          <w:szCs w:val="28"/>
          <w:lang w:val="en-US"/>
        </w:rPr>
        <w:t xml:space="preserve"> </w:t>
      </w:r>
    </w:p>
    <w:p w14:paraId="2C0D632D" w14:textId="77777777" w:rsidR="00DA4D54" w:rsidRPr="00DA4D54" w:rsidRDefault="00DA4D54" w:rsidP="00DA4D54">
      <w:pPr>
        <w:spacing w:line="276" w:lineRule="auto"/>
        <w:rPr>
          <w:rFonts w:ascii="Cambria" w:hAnsi="Cambria"/>
          <w:color w:val="000000" w:themeColor="text1"/>
          <w:sz w:val="24"/>
          <w:lang w:val="en-US"/>
        </w:rPr>
      </w:pPr>
      <w:r w:rsidRPr="00DA4D54">
        <w:rPr>
          <w:rFonts w:ascii="Cambria" w:hAnsi="Cambria"/>
          <w:color w:val="000000" w:themeColor="text1"/>
          <w:sz w:val="24"/>
          <w:lang w:val="en-US"/>
        </w:rPr>
        <w:t>The COVID-19 pandemic has fundamentally reshaped the meaning and practice of Total People’s Defense (SISHANTA) in Indonesia. This study found that the crisis not only tested the state’s institutional resilience but also revealed the critical role of civil and religious organizations as non-state actors in safeguarding the nation. Through its Muhammadiyah COVID-19 Command Center (MCCC), Muhammadiyah successfully transformed faith-based social energy into a structured, coordinated, and evidence-based civil defense system.</w:t>
      </w:r>
    </w:p>
    <w:p w14:paraId="2C343A74" w14:textId="5391828C" w:rsidR="00DA4D54" w:rsidRPr="00DA4D54" w:rsidRDefault="00DA4D54" w:rsidP="00DA4D54">
      <w:pPr>
        <w:spacing w:line="276" w:lineRule="auto"/>
        <w:rPr>
          <w:rFonts w:ascii="Cambria" w:hAnsi="Cambria"/>
          <w:color w:val="000000" w:themeColor="text1"/>
          <w:sz w:val="24"/>
          <w:lang w:val="en-US"/>
        </w:rPr>
      </w:pPr>
      <w:r w:rsidRPr="00DA4D54">
        <w:rPr>
          <w:rFonts w:ascii="Cambria" w:hAnsi="Cambria"/>
          <w:color w:val="000000" w:themeColor="text1"/>
          <w:sz w:val="24"/>
          <w:lang w:val="en-US"/>
        </w:rPr>
        <w:lastRenderedPageBreak/>
        <w:t>The findings demonstrate that national defense, in its broadest sense, is not solely determined by military strength but also by a society’s capacity to mobilize moral conviction, social solidarity, and intellectual competence. Muhammadiyah’s strategies exemplified this multidimensional form of defense through three interlinked pillars</w:t>
      </w:r>
      <w:r w:rsidR="005B3C9F">
        <w:rPr>
          <w:rFonts w:ascii="Cambria" w:hAnsi="Cambria"/>
          <w:color w:val="000000" w:themeColor="text1"/>
          <w:sz w:val="24"/>
          <w:lang w:val="en-US"/>
        </w:rPr>
        <w:t xml:space="preserve"> </w:t>
      </w:r>
      <w:r w:rsidRPr="00DA4D54">
        <w:rPr>
          <w:rFonts w:ascii="Cambria" w:hAnsi="Cambria"/>
          <w:color w:val="000000" w:themeColor="text1"/>
          <w:sz w:val="24"/>
          <w:lang w:val="en-US"/>
        </w:rPr>
        <w:t>health, education, and economy</w:t>
      </w:r>
      <w:r w:rsidR="005B3C9F">
        <w:rPr>
          <w:rFonts w:ascii="Cambria" w:hAnsi="Cambria"/>
          <w:color w:val="000000" w:themeColor="text1"/>
          <w:sz w:val="24"/>
          <w:lang w:val="en-US"/>
        </w:rPr>
        <w:t xml:space="preserve">, </w:t>
      </w:r>
      <w:r w:rsidRPr="00DA4D54">
        <w:rPr>
          <w:rFonts w:ascii="Cambria" w:hAnsi="Cambria"/>
          <w:color w:val="000000" w:themeColor="text1"/>
          <w:sz w:val="24"/>
          <w:lang w:val="en-US"/>
        </w:rPr>
        <w:t>each representing a domain of collective resilience.</w:t>
      </w:r>
    </w:p>
    <w:p w14:paraId="176253E3" w14:textId="77777777" w:rsidR="00DA4D54" w:rsidRPr="00DA4D54" w:rsidRDefault="00DA4D54" w:rsidP="00DA4D54">
      <w:pPr>
        <w:spacing w:line="276" w:lineRule="auto"/>
        <w:rPr>
          <w:rFonts w:ascii="Cambria" w:hAnsi="Cambria"/>
          <w:color w:val="000000" w:themeColor="text1"/>
          <w:sz w:val="24"/>
          <w:lang w:val="en-US"/>
        </w:rPr>
      </w:pPr>
      <w:r w:rsidRPr="00DA4D54">
        <w:rPr>
          <w:rFonts w:ascii="Cambria" w:hAnsi="Cambria"/>
          <w:color w:val="000000" w:themeColor="text1"/>
          <w:sz w:val="24"/>
          <w:lang w:val="en-US"/>
        </w:rPr>
        <w:t>These three dimensions collectively reflect the operationalization of SISHANTA as envisioned by Law No. 3 of 2002 on National Defense, which mandates the involvement of all citizens and national resources in defending the nation. What Muhammadiyah demonstrated, however, is that this mandate can be realized not only through coercive or militaristic mobilization but also through voluntary, ethical, and community-based participation.</w:t>
      </w:r>
    </w:p>
    <w:p w14:paraId="2CFEF351" w14:textId="34205EA5" w:rsidR="00DA4D54" w:rsidRPr="00DA4D54" w:rsidRDefault="00DA4D54" w:rsidP="00DA4D54">
      <w:pPr>
        <w:spacing w:line="276" w:lineRule="auto"/>
        <w:rPr>
          <w:rFonts w:ascii="Cambria" w:hAnsi="Cambria"/>
          <w:color w:val="000000" w:themeColor="text1"/>
          <w:sz w:val="24"/>
          <w:lang w:val="en-US"/>
        </w:rPr>
      </w:pPr>
      <w:r w:rsidRPr="00DA4D54">
        <w:rPr>
          <w:rFonts w:ascii="Cambria" w:hAnsi="Cambria"/>
          <w:color w:val="000000" w:themeColor="text1"/>
          <w:sz w:val="24"/>
          <w:lang w:val="en-US"/>
        </w:rPr>
        <w:t>The pandemic thus becomes not only a humanitarian crisis but also a social laboratory that validates the relevance of civil-based defense in the modern era. Muhammadiyah’s experience demonstrates that resilience arises from the harmony of ethical conviction and collective action</w:t>
      </w:r>
      <w:r w:rsidR="005B3C9F">
        <w:rPr>
          <w:rFonts w:ascii="Cambria" w:hAnsi="Cambria"/>
          <w:color w:val="000000" w:themeColor="text1"/>
          <w:sz w:val="24"/>
          <w:lang w:val="en-US"/>
        </w:rPr>
        <w:t xml:space="preserve">, </w:t>
      </w:r>
      <w:r w:rsidRPr="00DA4D54">
        <w:rPr>
          <w:rFonts w:ascii="Cambria" w:hAnsi="Cambria"/>
          <w:color w:val="000000" w:themeColor="text1"/>
          <w:sz w:val="24"/>
          <w:lang w:val="en-US"/>
        </w:rPr>
        <w:t>a synergy that transforms religion from a doctrinal system into a strategic force for public welfare and national endurance.</w:t>
      </w:r>
    </w:p>
    <w:p w14:paraId="7A02F76F" w14:textId="5E1FC419" w:rsidR="00DA4D54" w:rsidRDefault="00DA4D54" w:rsidP="00DA4D54">
      <w:pPr>
        <w:spacing w:line="276" w:lineRule="auto"/>
        <w:rPr>
          <w:rFonts w:ascii="Cambria" w:hAnsi="Cambria"/>
          <w:color w:val="000000" w:themeColor="text1"/>
          <w:sz w:val="24"/>
          <w:lang w:val="en-US"/>
        </w:rPr>
      </w:pPr>
      <w:r w:rsidRPr="00DA4D54">
        <w:rPr>
          <w:rFonts w:ascii="Cambria" w:hAnsi="Cambria"/>
          <w:color w:val="000000" w:themeColor="text1"/>
          <w:sz w:val="24"/>
          <w:lang w:val="en-US"/>
        </w:rPr>
        <w:t>Ultimately, the study concludes that the future of Indonesia’s defense system must evolve toward a human-centered and polycentric model, in which the strength of the nation is measured not only by its ability to deter military threats but also by its capacity to unite citizens under shared values of humanity, solidarity, and justice. The Muhammadiyah model offers a sustainable blueprint for building a resilient nation</w:t>
      </w:r>
      <w:r w:rsidR="001B6DCC">
        <w:rPr>
          <w:rFonts w:ascii="Cambria" w:hAnsi="Cambria"/>
          <w:color w:val="000000" w:themeColor="text1"/>
          <w:sz w:val="24"/>
          <w:lang w:val="en-US"/>
        </w:rPr>
        <w:t xml:space="preserve">, </w:t>
      </w:r>
      <w:r w:rsidRPr="00DA4D54">
        <w:rPr>
          <w:rFonts w:ascii="Cambria" w:hAnsi="Cambria"/>
          <w:color w:val="000000" w:themeColor="text1"/>
          <w:sz w:val="24"/>
          <w:lang w:val="en-US"/>
        </w:rPr>
        <w:t>one that protects sovereignty while upholding life and dignity as the highest expressions of defense</w:t>
      </w:r>
      <w:r>
        <w:rPr>
          <w:rFonts w:ascii="Cambria" w:hAnsi="Cambria"/>
          <w:color w:val="000000" w:themeColor="text1"/>
          <w:sz w:val="24"/>
          <w:lang w:val="en-US"/>
        </w:rPr>
        <w:t xml:space="preserve">. </w:t>
      </w:r>
    </w:p>
    <w:p w14:paraId="1CA28D7F" w14:textId="7B2D2FC7" w:rsidR="00C40ECF" w:rsidRDefault="00C40ECF" w:rsidP="00DA4D54">
      <w:pPr>
        <w:spacing w:line="276" w:lineRule="auto"/>
        <w:rPr>
          <w:rFonts w:ascii="Cambria" w:hAnsi="Cambria"/>
          <w:color w:val="000000" w:themeColor="text1"/>
          <w:sz w:val="24"/>
          <w:lang w:val="en-US"/>
        </w:rPr>
      </w:pPr>
      <w:r w:rsidRPr="00C40ECF">
        <w:rPr>
          <w:rFonts w:ascii="Cambria" w:hAnsi="Cambria"/>
          <w:color w:val="000000" w:themeColor="text1"/>
          <w:sz w:val="24"/>
          <w:lang w:val="en-US"/>
        </w:rPr>
        <w:t>The findings of this study highlight the need to strengthen Indonesia’s Total People’s Defense System (SISHANTA) through the inclusion of civil and religious organizations as integral components of national resilience. Muhammadiyah’s experience during the COVID-19 pandemic demonstrates that defense is most effective when the state collaborates with capable non-state actors. Therefore, the government should institutionalize the role of faith-based and civil organizations within the broader framework of defense governance.</w:t>
      </w:r>
    </w:p>
    <w:p w14:paraId="0F8ED790" w14:textId="5FC0C290" w:rsidR="00C40ECF" w:rsidRDefault="00C40ECF" w:rsidP="00DA4D54">
      <w:pPr>
        <w:spacing w:line="276" w:lineRule="auto"/>
        <w:rPr>
          <w:rFonts w:ascii="Cambria" w:hAnsi="Cambria"/>
          <w:color w:val="000000" w:themeColor="text1"/>
          <w:sz w:val="24"/>
          <w:lang w:val="en-US"/>
        </w:rPr>
      </w:pPr>
      <w:r w:rsidRPr="00C40ECF">
        <w:rPr>
          <w:rFonts w:ascii="Cambria" w:hAnsi="Cambria"/>
          <w:color w:val="000000" w:themeColor="text1"/>
          <w:sz w:val="24"/>
          <w:lang w:val="en-US"/>
        </w:rPr>
        <w:t xml:space="preserve">This study recognizes certain limitations that shape the scope of its analysis. </w:t>
      </w:r>
      <w:r>
        <w:rPr>
          <w:rFonts w:ascii="Cambria" w:hAnsi="Cambria"/>
          <w:color w:val="000000" w:themeColor="text1"/>
          <w:sz w:val="24"/>
          <w:lang w:val="en-US"/>
        </w:rPr>
        <w:t>I</w:t>
      </w:r>
      <w:r w:rsidRPr="00C40ECF">
        <w:rPr>
          <w:rFonts w:ascii="Cambria" w:hAnsi="Cambria"/>
          <w:color w:val="000000" w:themeColor="text1"/>
          <w:sz w:val="24"/>
          <w:lang w:val="en-US"/>
        </w:rPr>
        <w:t>t focuses on Muhammadiyah as a single case study representing the model of civil-based defense. While this approach provides analytical depth, it limits generalization to other religious or civil organizations that may operate under different social or institutional contexts. Comparative research involving other major organizations</w:t>
      </w:r>
      <w:r>
        <w:rPr>
          <w:rFonts w:ascii="Cambria" w:hAnsi="Cambria"/>
          <w:color w:val="000000" w:themeColor="text1"/>
          <w:sz w:val="24"/>
          <w:lang w:val="en-US"/>
        </w:rPr>
        <w:t xml:space="preserve">, </w:t>
      </w:r>
      <w:r w:rsidRPr="00C40ECF">
        <w:rPr>
          <w:rFonts w:ascii="Cambria" w:hAnsi="Cambria"/>
          <w:color w:val="000000" w:themeColor="text1"/>
          <w:sz w:val="24"/>
          <w:lang w:val="en-US"/>
        </w:rPr>
        <w:t>such as Nahdlatul Ulama or interfaith humanitarian networks</w:t>
      </w:r>
      <w:r>
        <w:rPr>
          <w:rFonts w:ascii="Cambria" w:hAnsi="Cambria"/>
          <w:color w:val="000000" w:themeColor="text1"/>
          <w:sz w:val="24"/>
          <w:lang w:val="en-US"/>
        </w:rPr>
        <w:t xml:space="preserve">, </w:t>
      </w:r>
      <w:r w:rsidRPr="00C40ECF">
        <w:rPr>
          <w:rFonts w:ascii="Cambria" w:hAnsi="Cambria"/>
          <w:color w:val="000000" w:themeColor="text1"/>
          <w:sz w:val="24"/>
          <w:lang w:val="en-US"/>
        </w:rPr>
        <w:t>would enrich the theoretical understanding of civil-based defense in Indonesia.</w:t>
      </w:r>
    </w:p>
    <w:p w14:paraId="0156D4C5" w14:textId="77777777" w:rsidR="00C40ECF" w:rsidRDefault="00C40ECF" w:rsidP="00DA4D54">
      <w:pPr>
        <w:spacing w:line="276" w:lineRule="auto"/>
        <w:rPr>
          <w:rFonts w:ascii="Cambria" w:hAnsi="Cambria"/>
          <w:color w:val="000000" w:themeColor="text1"/>
          <w:sz w:val="24"/>
          <w:lang w:val="en-US"/>
        </w:rPr>
      </w:pPr>
    </w:p>
    <w:p w14:paraId="1468D9D4" w14:textId="77777777" w:rsidR="00036077" w:rsidRPr="001E60AA" w:rsidRDefault="00036077" w:rsidP="00036077">
      <w:pPr>
        <w:spacing w:line="276" w:lineRule="auto"/>
        <w:ind w:firstLine="0"/>
        <w:rPr>
          <w:rFonts w:ascii="Cambria" w:hAnsi="Cambria"/>
          <w:b/>
          <w:bCs/>
          <w:caps/>
          <w:color w:val="000000" w:themeColor="text1"/>
          <w:sz w:val="24"/>
          <w:szCs w:val="28"/>
          <w:lang w:val="en-US"/>
        </w:rPr>
      </w:pPr>
    </w:p>
    <w:p w14:paraId="1579476D" w14:textId="77777777" w:rsidR="00036077" w:rsidRPr="001E60AA" w:rsidRDefault="00036077" w:rsidP="00036077">
      <w:pPr>
        <w:spacing w:line="276" w:lineRule="auto"/>
        <w:ind w:firstLine="0"/>
        <w:rPr>
          <w:rFonts w:ascii="Cambria" w:hAnsi="Cambria"/>
          <w:b/>
          <w:color w:val="000000" w:themeColor="text1"/>
          <w:sz w:val="24"/>
          <w:szCs w:val="40"/>
        </w:rPr>
      </w:pPr>
      <w:r w:rsidRPr="001E60AA">
        <w:rPr>
          <w:rFonts w:ascii="Cambria" w:hAnsi="Cambria"/>
          <w:b/>
          <w:bCs/>
          <w:caps/>
          <w:color w:val="000000" w:themeColor="text1"/>
          <w:sz w:val="24"/>
          <w:szCs w:val="28"/>
        </w:rPr>
        <w:t>References</w:t>
      </w:r>
      <w:r w:rsidRPr="001E60AA">
        <w:rPr>
          <w:rFonts w:ascii="Cambria" w:hAnsi="Cambria"/>
          <w:b/>
          <w:bCs/>
          <w:color w:val="000000" w:themeColor="text1"/>
          <w:sz w:val="24"/>
          <w:szCs w:val="28"/>
        </w:rPr>
        <w:t xml:space="preserve"> </w:t>
      </w:r>
    </w:p>
    <w:p w14:paraId="68B5D6EB"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Akinyode, B. F., &amp; Khan, T. H. (2018). Step by step approach for qualitative data analysis. </w:t>
      </w:r>
      <w:r w:rsidRPr="001E60AA">
        <w:rPr>
          <w:rFonts w:ascii="Cambria" w:hAnsi="Cambria"/>
          <w:bCs/>
          <w:i/>
          <w:iCs/>
          <w:color w:val="000000" w:themeColor="text1"/>
          <w:sz w:val="24"/>
          <w:szCs w:val="28"/>
        </w:rPr>
        <w:t>International Journal of Built Environment and Sustainability</w:t>
      </w:r>
      <w:r w:rsidRPr="001E60AA">
        <w:rPr>
          <w:rFonts w:ascii="Cambria" w:hAnsi="Cambria"/>
          <w:bCs/>
          <w:color w:val="000000" w:themeColor="text1"/>
          <w:sz w:val="24"/>
          <w:szCs w:val="28"/>
        </w:rPr>
        <w:t>, 5 (3), 163–174.</w:t>
      </w:r>
    </w:p>
    <w:p w14:paraId="2302E9A9"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lastRenderedPageBreak/>
        <w:t xml:space="preserve">Alarifi, A., Mishra, N. P., Das, S. S., Yadav, S., Khan, W., Afzal, M., &amp; Nayak, A. K. (2020). Global impacts of pre- and post-COVID-19 pandemic: Focus on socio-economic consequences. </w:t>
      </w:r>
      <w:r w:rsidRPr="001E60AA">
        <w:rPr>
          <w:rFonts w:ascii="Cambria" w:hAnsi="Cambria"/>
          <w:bCs/>
          <w:i/>
          <w:iCs/>
          <w:color w:val="000000" w:themeColor="text1"/>
          <w:sz w:val="24"/>
          <w:szCs w:val="28"/>
        </w:rPr>
        <w:t>Sensors International</w:t>
      </w:r>
      <w:r w:rsidRPr="001E60AA">
        <w:rPr>
          <w:rFonts w:ascii="Cambria" w:hAnsi="Cambria"/>
          <w:bCs/>
          <w:color w:val="000000" w:themeColor="text1"/>
          <w:sz w:val="24"/>
          <w:szCs w:val="28"/>
        </w:rPr>
        <w:t>, 1</w:t>
      </w:r>
      <w:r w:rsidRPr="001E60AA">
        <w:rPr>
          <w:rFonts w:ascii="Cambria" w:hAnsi="Cambria"/>
          <w:bCs/>
          <w:color w:val="000000" w:themeColor="text1"/>
          <w:sz w:val="24"/>
          <w:szCs w:val="28"/>
          <w:lang w:val="en-US"/>
        </w:rPr>
        <w:t>.</w:t>
      </w:r>
      <w:r w:rsidRPr="001E60AA">
        <w:rPr>
          <w:rFonts w:ascii="Cambria" w:hAnsi="Cambria"/>
          <w:bCs/>
          <w:color w:val="000000" w:themeColor="text1"/>
          <w:sz w:val="24"/>
          <w:szCs w:val="28"/>
        </w:rPr>
        <w:t xml:space="preserve"> </w:t>
      </w:r>
    </w:p>
    <w:p w14:paraId="41CACEA3"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Baidhawy, Z. (2015). The role of faith-based organization in coping with disaster management and mitigation Muhammadiyah’s experience. </w:t>
      </w:r>
      <w:r w:rsidRPr="001E60AA">
        <w:rPr>
          <w:rFonts w:ascii="Cambria" w:hAnsi="Cambria"/>
          <w:bCs/>
          <w:i/>
          <w:iCs/>
          <w:color w:val="000000" w:themeColor="text1"/>
          <w:sz w:val="24"/>
          <w:szCs w:val="28"/>
        </w:rPr>
        <w:t>Journal of Indonesian Islam</w:t>
      </w:r>
      <w:r w:rsidRPr="001E60AA">
        <w:rPr>
          <w:rFonts w:ascii="Cambria" w:hAnsi="Cambria"/>
          <w:bCs/>
          <w:color w:val="000000" w:themeColor="text1"/>
          <w:sz w:val="24"/>
          <w:szCs w:val="28"/>
        </w:rPr>
        <w:t>, 9, 167–194</w:t>
      </w:r>
    </w:p>
    <w:p w14:paraId="1C661FAE"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Baxter, P., &amp; Jack, S. (2008). Qualitative case study methodology: Study design and implementation for novice researchers. The Qualitative Report, 13(4), 544-559. Diakses dari http://nsuworks.nova.edu/ tqr/vol13/iss4/2 </w:t>
      </w:r>
    </w:p>
    <w:p w14:paraId="14DA0F3C"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Burhani, Ahmad Najib. (2020). Comparing Tablighi Jamaat and Muhammadiyah Responses to COVID-19, Singapura : </w:t>
      </w:r>
      <w:r w:rsidRPr="001E60AA">
        <w:rPr>
          <w:rFonts w:ascii="Cambria" w:hAnsi="Cambria"/>
          <w:bCs/>
          <w:i/>
          <w:iCs/>
          <w:color w:val="000000" w:themeColor="text1"/>
          <w:sz w:val="24"/>
          <w:szCs w:val="28"/>
        </w:rPr>
        <w:t>ISEAS Yusof Ishak Institute</w:t>
      </w:r>
      <w:r w:rsidRPr="001E60AA">
        <w:rPr>
          <w:rFonts w:ascii="Cambria" w:hAnsi="Cambria"/>
          <w:bCs/>
          <w:color w:val="000000" w:themeColor="text1"/>
          <w:sz w:val="24"/>
          <w:szCs w:val="28"/>
        </w:rPr>
        <w:t xml:space="preserve">, 13 Juli 2020 ISSUE: 2020 No. 75 </w:t>
      </w:r>
    </w:p>
    <w:p w14:paraId="0C872D0B"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Creswell, John W. (2007) </w:t>
      </w:r>
      <w:r w:rsidRPr="001E60AA">
        <w:rPr>
          <w:rFonts w:ascii="Cambria" w:hAnsi="Cambria"/>
          <w:bCs/>
          <w:i/>
          <w:iCs/>
          <w:color w:val="000000" w:themeColor="text1"/>
          <w:sz w:val="24"/>
          <w:szCs w:val="28"/>
        </w:rPr>
        <w:t>Qualitative Inquiry &amp; Research Design Choosing Among Five Approaches</w:t>
      </w:r>
      <w:r w:rsidRPr="001E60AA">
        <w:rPr>
          <w:rFonts w:ascii="Cambria" w:hAnsi="Cambria"/>
          <w:bCs/>
          <w:color w:val="000000" w:themeColor="text1"/>
          <w:sz w:val="24"/>
          <w:szCs w:val="28"/>
        </w:rPr>
        <w:t xml:space="preserve">. California: Sage Publication Inc </w:t>
      </w:r>
    </w:p>
    <w:p w14:paraId="38D7B3F9"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Danga, C. M., Prakoso, L. Y., Hutajulu, B. P., &amp; Fahlevie, R. A. (2023). Perkembangan doktrin sistem dan keamanan negara Indonesia. </w:t>
      </w:r>
      <w:r w:rsidRPr="001E60AA">
        <w:rPr>
          <w:rFonts w:ascii="Cambria" w:hAnsi="Cambria"/>
          <w:bCs/>
          <w:i/>
          <w:iCs/>
          <w:color w:val="000000" w:themeColor="text1"/>
          <w:sz w:val="24"/>
          <w:szCs w:val="28"/>
        </w:rPr>
        <w:t>JUSTISI: Jurnal Ilmu Hukum</w:t>
      </w:r>
      <w:r w:rsidRPr="001E60AA">
        <w:rPr>
          <w:rFonts w:ascii="Cambria" w:hAnsi="Cambria"/>
          <w:bCs/>
          <w:color w:val="000000" w:themeColor="text1"/>
          <w:sz w:val="24"/>
          <w:szCs w:val="28"/>
        </w:rPr>
        <w:t>, 9(2), 104–115.</w:t>
      </w:r>
    </w:p>
    <w:p w14:paraId="46201B0B"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Djalante, Riyanti., Lassa, Jonathan., Setiamarga, Davin., Sudjatma, Aruminingsih., Indrawan, Mochamad., Haryanto, Budi., Mahfud, Choirul., Sinapoy, Muhammad Sabaruddin., Djalante, Susanti., Rafliana, Irina., Gunawan, Lalu Adi., Ketut Surtiari, Gusti Ayu., Warsilah, Henny., Review and Analysis of Current Responses to Covid-19 in Indonesia: Period of January to March 2020, </w:t>
      </w:r>
      <w:r w:rsidRPr="001E60AA">
        <w:rPr>
          <w:rFonts w:ascii="Cambria" w:hAnsi="Cambria"/>
          <w:bCs/>
          <w:i/>
          <w:iCs/>
          <w:color w:val="000000" w:themeColor="text1"/>
          <w:sz w:val="24"/>
          <w:szCs w:val="28"/>
        </w:rPr>
        <w:t>Progres in Disaster Science</w:t>
      </w:r>
      <w:r w:rsidRPr="001E60AA">
        <w:rPr>
          <w:rFonts w:ascii="Cambria" w:hAnsi="Cambria"/>
          <w:bCs/>
          <w:color w:val="000000" w:themeColor="text1"/>
          <w:sz w:val="24"/>
          <w:szCs w:val="28"/>
        </w:rPr>
        <w:t xml:space="preserve"> 6 (2020) 100091</w:t>
      </w:r>
    </w:p>
    <w:p w14:paraId="58BA48B1"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Fathurrohman, U., &amp; Supriyadi, A. A. (2024). Sistem pertahanan semesta bagi model pemberdayaan masyarakat berdasarkan konsep tata kelola polisentris. </w:t>
      </w:r>
      <w:r w:rsidRPr="001E60AA">
        <w:rPr>
          <w:rFonts w:ascii="Cambria" w:hAnsi="Cambria"/>
          <w:bCs/>
          <w:i/>
          <w:iCs/>
          <w:color w:val="000000" w:themeColor="text1"/>
          <w:sz w:val="24"/>
          <w:szCs w:val="28"/>
        </w:rPr>
        <w:t>Journal of National Paradigm-Based Resilience Strategy</w:t>
      </w:r>
      <w:r w:rsidRPr="001E60AA">
        <w:rPr>
          <w:rFonts w:ascii="Cambria" w:hAnsi="Cambria"/>
          <w:bCs/>
          <w:color w:val="000000" w:themeColor="text1"/>
          <w:sz w:val="24"/>
          <w:szCs w:val="28"/>
        </w:rPr>
        <w:t xml:space="preserve"> (NAPBRES), 1(2), 121–129.</w:t>
      </w:r>
    </w:p>
    <w:p w14:paraId="7D838404"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Huitema, D., Jordan, A., van Asselt, H., &amp; Patterson, J. (2019). Polycentric governance and climate change. In V. Galaz (Ed.), Global Challenges, Governance, and Complexity: Applications and Frontiers (pp. 124–146). Edward Elgar Publishing.</w:t>
      </w:r>
    </w:p>
    <w:p w14:paraId="396C85DD"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Ichsan, M. (2022). Handling natural hazards in Indonesia amid the COVID-19 pandemi: Muhammadiyah’s response and strategy. </w:t>
      </w:r>
      <w:r w:rsidRPr="001E60AA">
        <w:rPr>
          <w:rFonts w:ascii="Cambria" w:hAnsi="Cambria"/>
          <w:bCs/>
          <w:i/>
          <w:iCs/>
          <w:color w:val="000000" w:themeColor="text1"/>
          <w:sz w:val="24"/>
          <w:szCs w:val="28"/>
        </w:rPr>
        <w:t>Jàmbá Journal of Disaster Risk Studies</w:t>
      </w:r>
      <w:r w:rsidRPr="001E60AA">
        <w:rPr>
          <w:rFonts w:ascii="Cambria" w:hAnsi="Cambria"/>
          <w:bCs/>
          <w:color w:val="000000" w:themeColor="text1"/>
          <w:sz w:val="24"/>
          <w:szCs w:val="28"/>
        </w:rPr>
        <w:t>, 14(1)</w:t>
      </w:r>
    </w:p>
    <w:p w14:paraId="1358453B"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Kusnadi, A., Dunda, A. S., Alim, A. M., Budiman, A., Kurniawan, D. W., Nurjaman, H., Isngadi, Marwah, A., &amp; Rais, I. (2020). </w:t>
      </w:r>
      <w:r w:rsidRPr="001E60AA">
        <w:rPr>
          <w:rFonts w:ascii="Cambria" w:hAnsi="Cambria"/>
          <w:bCs/>
          <w:i/>
          <w:iCs/>
          <w:color w:val="000000" w:themeColor="text1"/>
          <w:sz w:val="24"/>
          <w:szCs w:val="28"/>
        </w:rPr>
        <w:t>Muhammadiyah membangun kesehatan bangsa.</w:t>
      </w:r>
      <w:r w:rsidRPr="001E60AA">
        <w:rPr>
          <w:rFonts w:ascii="Cambria" w:hAnsi="Cambria"/>
          <w:bCs/>
          <w:color w:val="000000" w:themeColor="text1"/>
          <w:sz w:val="24"/>
          <w:szCs w:val="28"/>
        </w:rPr>
        <w:t xml:space="preserve"> Jakarta: Majelis Pembina Kesehatan Umum Pimpinan Pusat Muhammadiyah (MPKU PP Muhammadiyah).</w:t>
      </w:r>
    </w:p>
    <w:p w14:paraId="3C64A906"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Kusuma, E., Prakoso, L. Y., &amp; Dadang, D. (2021). Strategi pertahanan semesta menjaga identitas nasional mendukung Indonesia poros maritim dunia. </w:t>
      </w:r>
      <w:r w:rsidRPr="001E60AA">
        <w:rPr>
          <w:rFonts w:ascii="Cambria" w:hAnsi="Cambria"/>
          <w:bCs/>
          <w:i/>
          <w:iCs/>
          <w:color w:val="000000" w:themeColor="text1"/>
          <w:sz w:val="24"/>
          <w:szCs w:val="28"/>
        </w:rPr>
        <w:t>Jurnal Strategi Perang Semesta</w:t>
      </w:r>
      <w:r w:rsidRPr="001E60AA">
        <w:rPr>
          <w:rFonts w:ascii="Cambria" w:hAnsi="Cambria"/>
          <w:bCs/>
          <w:color w:val="000000" w:themeColor="text1"/>
          <w:sz w:val="24"/>
          <w:szCs w:val="28"/>
        </w:rPr>
        <w:t>, 7(2), 1–12.</w:t>
      </w:r>
    </w:p>
    <w:p w14:paraId="7CB514AE"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Maryati, T., Rimiyati, H., &amp; Sari, F. P. (2022). Pemberdayaan ekonomi anggota Ranting Aisyiyah melalui Gerakan Lumbung Hidup Aisyiyah. </w:t>
      </w:r>
      <w:r w:rsidRPr="001E60AA">
        <w:rPr>
          <w:rFonts w:ascii="Cambria" w:hAnsi="Cambria"/>
          <w:bCs/>
          <w:i/>
          <w:iCs/>
          <w:color w:val="000000" w:themeColor="text1"/>
          <w:sz w:val="24"/>
          <w:szCs w:val="28"/>
        </w:rPr>
        <w:t>Warta LPM: Jurnal Pengabdian kepada Masyarakat</w:t>
      </w:r>
      <w:r w:rsidRPr="001E60AA">
        <w:rPr>
          <w:rFonts w:ascii="Cambria" w:hAnsi="Cambria"/>
          <w:bCs/>
          <w:color w:val="000000" w:themeColor="text1"/>
          <w:sz w:val="24"/>
          <w:szCs w:val="28"/>
        </w:rPr>
        <w:t>, 25(3), 324–333.</w:t>
      </w:r>
    </w:p>
    <w:p w14:paraId="49E75EAE"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Mulkhan, Abdul Munir. (2000). </w:t>
      </w:r>
      <w:r w:rsidRPr="001E60AA">
        <w:rPr>
          <w:rFonts w:ascii="Cambria" w:hAnsi="Cambria"/>
          <w:bCs/>
          <w:i/>
          <w:iCs/>
          <w:color w:val="000000" w:themeColor="text1"/>
          <w:sz w:val="24"/>
          <w:szCs w:val="28"/>
        </w:rPr>
        <w:t>Islam Murni dalam Masyarakat Petani</w:t>
      </w:r>
      <w:r w:rsidRPr="001E60AA">
        <w:rPr>
          <w:rFonts w:ascii="Cambria" w:hAnsi="Cambria"/>
          <w:bCs/>
          <w:color w:val="000000" w:themeColor="text1"/>
          <w:sz w:val="24"/>
          <w:szCs w:val="28"/>
        </w:rPr>
        <w:t>. Yogyakarta : Bentang</w:t>
      </w:r>
    </w:p>
    <w:p w14:paraId="4C2822A2"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lastRenderedPageBreak/>
        <w:t xml:space="preserve">Muttaqin, A. (2021). Religion, science, and culture amidst the Covid-19 pandemic: Muhammadiyah’s worship guidance and members’ response. </w:t>
      </w:r>
      <w:r w:rsidRPr="001E60AA">
        <w:rPr>
          <w:rFonts w:ascii="Cambria" w:hAnsi="Cambria"/>
          <w:bCs/>
          <w:i/>
          <w:iCs/>
          <w:color w:val="000000" w:themeColor="text1"/>
          <w:sz w:val="24"/>
          <w:szCs w:val="28"/>
        </w:rPr>
        <w:t>Al-Albab: Journal of Religion and Culture,</w:t>
      </w:r>
      <w:r w:rsidRPr="001E60AA">
        <w:rPr>
          <w:rFonts w:ascii="Cambria" w:hAnsi="Cambria"/>
          <w:bCs/>
          <w:color w:val="000000" w:themeColor="text1"/>
          <w:sz w:val="24"/>
          <w:szCs w:val="28"/>
        </w:rPr>
        <w:t xml:space="preserve"> 10(1), 3–22.</w:t>
      </w:r>
    </w:p>
    <w:p w14:paraId="3AC5907F"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Nashir, Haedar. (2020). </w:t>
      </w:r>
      <w:r w:rsidRPr="001E60AA">
        <w:rPr>
          <w:rFonts w:ascii="Cambria" w:hAnsi="Cambria"/>
          <w:bCs/>
          <w:i/>
          <w:iCs/>
          <w:color w:val="000000" w:themeColor="text1"/>
          <w:sz w:val="24"/>
          <w:szCs w:val="28"/>
        </w:rPr>
        <w:t>Muhammadiyah Gerakan Pembaruan</w:t>
      </w:r>
      <w:r w:rsidRPr="001E60AA">
        <w:rPr>
          <w:rFonts w:ascii="Cambria" w:hAnsi="Cambria"/>
          <w:bCs/>
          <w:color w:val="000000" w:themeColor="text1"/>
          <w:sz w:val="24"/>
          <w:szCs w:val="28"/>
        </w:rPr>
        <w:t>. Yogyakarta : Suara Muhammadiyah</w:t>
      </w:r>
    </w:p>
    <w:p w14:paraId="48452457"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Nurhadi, N., Yuda, T. K., Kafaa, K. A., &amp; Pratiyudha, P. P. (2023). Changing welfare solidarity: social policy and solidarity ventures during COVID-19 outbreak in Indonesia. </w:t>
      </w:r>
      <w:r w:rsidRPr="001E60AA">
        <w:rPr>
          <w:rFonts w:ascii="Cambria" w:hAnsi="Cambria"/>
          <w:bCs/>
          <w:i/>
          <w:iCs/>
          <w:color w:val="000000" w:themeColor="text1"/>
          <w:sz w:val="24"/>
          <w:szCs w:val="28"/>
        </w:rPr>
        <w:t>Journal of Asian Public Policy</w:t>
      </w:r>
      <w:r w:rsidRPr="001E60AA">
        <w:rPr>
          <w:rFonts w:ascii="Cambria" w:hAnsi="Cambria"/>
          <w:bCs/>
          <w:color w:val="000000" w:themeColor="text1"/>
          <w:sz w:val="24"/>
          <w:szCs w:val="28"/>
        </w:rPr>
        <w:t xml:space="preserve">, 18(1), 163–183. </w:t>
      </w:r>
    </w:p>
    <w:p w14:paraId="1F8FED08"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Pan, K., &amp; Yue, X.-G. (2022). Multidimensional effect of COVID-19 on the economy: Evidence from survey data. </w:t>
      </w:r>
      <w:r w:rsidRPr="001E60AA">
        <w:rPr>
          <w:rFonts w:ascii="Cambria" w:hAnsi="Cambria"/>
          <w:bCs/>
          <w:i/>
          <w:iCs/>
          <w:color w:val="000000" w:themeColor="text1"/>
          <w:sz w:val="24"/>
          <w:szCs w:val="28"/>
        </w:rPr>
        <w:t>Economic Research-Ekonomska Istraživanja</w:t>
      </w:r>
      <w:r w:rsidRPr="001E60AA">
        <w:rPr>
          <w:rFonts w:ascii="Cambria" w:hAnsi="Cambria"/>
          <w:bCs/>
          <w:color w:val="000000" w:themeColor="text1"/>
          <w:sz w:val="24"/>
          <w:szCs w:val="28"/>
        </w:rPr>
        <w:t>, 35(1), 1658–1685.</w:t>
      </w:r>
    </w:p>
    <w:p w14:paraId="6F85140F"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Piliyati, Indah., Latief, H., Anwar, S., (2022). Technologizing Islamic Philanthropy During the Covid-19 Pandemic in Indonesia, </w:t>
      </w:r>
      <w:r w:rsidRPr="001E60AA">
        <w:rPr>
          <w:rFonts w:ascii="Cambria" w:hAnsi="Cambria"/>
          <w:bCs/>
          <w:i/>
          <w:iCs/>
          <w:color w:val="000000" w:themeColor="text1"/>
          <w:sz w:val="24"/>
          <w:szCs w:val="28"/>
        </w:rPr>
        <w:t>Journal of Muslim Philanthropy &amp; Civil Society</w:t>
      </w:r>
      <w:r w:rsidRPr="001E60AA">
        <w:rPr>
          <w:rFonts w:ascii="Cambria" w:hAnsi="Cambria"/>
          <w:bCs/>
          <w:color w:val="000000" w:themeColor="text1"/>
          <w:sz w:val="24"/>
          <w:szCs w:val="28"/>
        </w:rPr>
        <w:t xml:space="preserve">, 6 (2). </w:t>
      </w:r>
    </w:p>
    <w:p w14:paraId="5F5F8094"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Purwaningsih, T., &amp; Amrurobbi, A. A. (2021). </w:t>
      </w:r>
      <w:r w:rsidRPr="001E60AA">
        <w:rPr>
          <w:rFonts w:ascii="Cambria" w:hAnsi="Cambria"/>
          <w:bCs/>
          <w:i/>
          <w:iCs/>
          <w:color w:val="000000" w:themeColor="text1"/>
          <w:sz w:val="24"/>
          <w:szCs w:val="28"/>
        </w:rPr>
        <w:t>Muhammadiyah dalam penanganan krisis kesehatan Covid-19 di Indonesia. Dalam Inovasi Pelayanan Publik di Era New Normal</w:t>
      </w:r>
      <w:r w:rsidRPr="001E60AA">
        <w:rPr>
          <w:rFonts w:ascii="Cambria" w:hAnsi="Cambria"/>
          <w:bCs/>
          <w:color w:val="000000" w:themeColor="text1"/>
          <w:sz w:val="24"/>
          <w:szCs w:val="28"/>
        </w:rPr>
        <w:t>. Yogyakarta: Penerbit Samudra Biru.</w:t>
      </w:r>
    </w:p>
    <w:p w14:paraId="6DD494CA"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Rusfiana, Y. (2021). Aktualisasi sistem pertahanan rakyat semesta (Sishanta) dan dinamika potensi ancaman. </w:t>
      </w:r>
      <w:r w:rsidRPr="001E60AA">
        <w:rPr>
          <w:rFonts w:ascii="Cambria" w:hAnsi="Cambria"/>
          <w:bCs/>
          <w:i/>
          <w:iCs/>
          <w:color w:val="000000" w:themeColor="text1"/>
          <w:sz w:val="24"/>
          <w:szCs w:val="28"/>
        </w:rPr>
        <w:t>Jurnal Moderat</w:t>
      </w:r>
      <w:r w:rsidRPr="001E60AA">
        <w:rPr>
          <w:rFonts w:ascii="Cambria" w:hAnsi="Cambria"/>
          <w:bCs/>
          <w:color w:val="000000" w:themeColor="text1"/>
          <w:sz w:val="24"/>
          <w:szCs w:val="28"/>
        </w:rPr>
        <w:t>, 7(3), 1–15</w:t>
      </w:r>
    </w:p>
    <w:p w14:paraId="0F5D0039"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Rush, James R., (2017). </w:t>
      </w:r>
      <w:r w:rsidRPr="001E60AA">
        <w:rPr>
          <w:rFonts w:ascii="Cambria" w:hAnsi="Cambria"/>
          <w:bCs/>
          <w:i/>
          <w:iCs/>
          <w:color w:val="000000" w:themeColor="text1"/>
          <w:sz w:val="24"/>
          <w:szCs w:val="28"/>
        </w:rPr>
        <w:t>Adi Cerita HAMKA : Visi Islam Sang Penulis Besar untuk Indonesia Modern</w:t>
      </w:r>
      <w:r w:rsidRPr="001E60AA">
        <w:rPr>
          <w:rFonts w:ascii="Cambria" w:hAnsi="Cambria"/>
          <w:bCs/>
          <w:color w:val="000000" w:themeColor="text1"/>
          <w:sz w:val="24"/>
          <w:szCs w:val="28"/>
        </w:rPr>
        <w:t>, Jakarta : Gramedia Pustaka Utama.</w:t>
      </w:r>
    </w:p>
    <w:p w14:paraId="7DDE417A"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Sadikin, S. (2021). The Transformation of MDMC Social Piety in Forming Public Spaces in the Middle of the Covid-19 Pandemi in Indonesia. </w:t>
      </w:r>
      <w:r w:rsidRPr="001E60AA">
        <w:rPr>
          <w:rFonts w:ascii="Cambria" w:hAnsi="Cambria"/>
          <w:bCs/>
          <w:i/>
          <w:iCs/>
          <w:color w:val="000000" w:themeColor="text1"/>
          <w:sz w:val="24"/>
          <w:szCs w:val="28"/>
        </w:rPr>
        <w:t>Halaqa: Islamic Education Journal</w:t>
      </w:r>
      <w:r w:rsidRPr="001E60AA">
        <w:rPr>
          <w:rFonts w:ascii="Cambria" w:hAnsi="Cambria"/>
          <w:bCs/>
          <w:color w:val="000000" w:themeColor="text1"/>
          <w:sz w:val="24"/>
          <w:szCs w:val="28"/>
        </w:rPr>
        <w:t>, 5, 21–28</w:t>
      </w:r>
    </w:p>
    <w:p w14:paraId="5282DD0E"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Samudro, E. G., &amp; Madjid, M. A. (2020). Pemerintah Indonesia menghadapi bencana nasional Covid-19 yang mengancam ketahanan nasional. </w:t>
      </w:r>
      <w:r w:rsidRPr="001E60AA">
        <w:rPr>
          <w:rFonts w:ascii="Cambria" w:hAnsi="Cambria"/>
          <w:bCs/>
          <w:i/>
          <w:iCs/>
          <w:color w:val="000000" w:themeColor="text1"/>
          <w:sz w:val="24"/>
          <w:szCs w:val="28"/>
        </w:rPr>
        <w:t>Jurnal Ketahanan Nasional</w:t>
      </w:r>
      <w:r w:rsidRPr="001E60AA">
        <w:rPr>
          <w:rFonts w:ascii="Cambria" w:hAnsi="Cambria"/>
          <w:bCs/>
          <w:color w:val="000000" w:themeColor="text1"/>
          <w:sz w:val="24"/>
          <w:szCs w:val="28"/>
        </w:rPr>
        <w:t>, 26(2), 132–154.</w:t>
      </w:r>
    </w:p>
    <w:p w14:paraId="0167461F"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Suswanto, D. (2024). Politik hukum masa darurat pandemi COVID-19 dalam perspektif otonomi desa. </w:t>
      </w:r>
      <w:r w:rsidRPr="001E60AA">
        <w:rPr>
          <w:rFonts w:ascii="Cambria" w:hAnsi="Cambria"/>
          <w:bCs/>
          <w:i/>
          <w:iCs/>
          <w:color w:val="000000" w:themeColor="text1"/>
          <w:sz w:val="24"/>
          <w:szCs w:val="28"/>
        </w:rPr>
        <w:t>Res Nullius Law Journal</w:t>
      </w:r>
      <w:r w:rsidRPr="001E60AA">
        <w:rPr>
          <w:rFonts w:ascii="Cambria" w:hAnsi="Cambria"/>
          <w:bCs/>
          <w:color w:val="000000" w:themeColor="text1"/>
          <w:sz w:val="24"/>
          <w:szCs w:val="28"/>
        </w:rPr>
        <w:t>, 6(1), 73-81</w:t>
      </w:r>
    </w:p>
    <w:p w14:paraId="71F9B32E" w14:textId="77777777" w:rsidR="00036077" w:rsidRPr="001E60AA" w:rsidRDefault="00036077" w:rsidP="00036077">
      <w:pPr>
        <w:spacing w:line="276" w:lineRule="auto"/>
        <w:ind w:left="284" w:hanging="284"/>
        <w:rPr>
          <w:rFonts w:ascii="Cambria" w:hAnsi="Cambria"/>
          <w:bCs/>
          <w:color w:val="000000" w:themeColor="text1"/>
          <w:sz w:val="24"/>
          <w:szCs w:val="28"/>
        </w:rPr>
      </w:pPr>
      <w:r w:rsidRPr="001E60AA">
        <w:rPr>
          <w:rFonts w:ascii="Cambria" w:hAnsi="Cambria"/>
          <w:bCs/>
          <w:color w:val="000000" w:themeColor="text1"/>
          <w:sz w:val="24"/>
          <w:szCs w:val="28"/>
        </w:rPr>
        <w:t xml:space="preserve">Yusuf, M. A., Danga, C. M., Prakoso, L. Y., Tumanggor, M., &amp; Sakum. (2023). Penyelenggaraan pertahanan nirmiliter Indonesia. </w:t>
      </w:r>
      <w:r w:rsidRPr="001E60AA">
        <w:rPr>
          <w:rFonts w:ascii="Cambria" w:hAnsi="Cambria"/>
          <w:bCs/>
          <w:i/>
          <w:iCs/>
          <w:color w:val="000000" w:themeColor="text1"/>
          <w:sz w:val="24"/>
          <w:szCs w:val="28"/>
        </w:rPr>
        <w:t>Jurnal Sosial dan Sains</w:t>
      </w:r>
      <w:r w:rsidRPr="001E60AA">
        <w:rPr>
          <w:rFonts w:ascii="Cambria" w:hAnsi="Cambria"/>
          <w:bCs/>
          <w:color w:val="000000" w:themeColor="text1"/>
          <w:sz w:val="24"/>
          <w:szCs w:val="28"/>
        </w:rPr>
        <w:t>, 3(10), 1072–1083.</w:t>
      </w:r>
    </w:p>
    <w:p w14:paraId="135BD417" w14:textId="77777777" w:rsidR="00036077" w:rsidRPr="001E60AA" w:rsidRDefault="00036077" w:rsidP="00036077">
      <w:pPr>
        <w:spacing w:line="276" w:lineRule="auto"/>
        <w:rPr>
          <w:rFonts w:ascii="Cambria" w:hAnsi="Cambria"/>
          <w:color w:val="000000" w:themeColor="text1"/>
          <w:sz w:val="24"/>
          <w:lang w:val="en-US"/>
        </w:rPr>
      </w:pPr>
    </w:p>
    <w:p w14:paraId="2053A5B9" w14:textId="77777777" w:rsidR="00486523" w:rsidRDefault="00486523"/>
    <w:sectPr w:rsidR="00486523" w:rsidSect="00C25311">
      <w:type w:val="continuous"/>
      <w:pgSz w:w="11907" w:h="16839"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859481"/>
      <w:docPartObj>
        <w:docPartGallery w:val="Page Numbers (Bottom of Page)"/>
        <w:docPartUnique/>
      </w:docPartObj>
    </w:sdtPr>
    <w:sdtEndPr>
      <w:rPr>
        <w:noProof/>
      </w:rPr>
    </w:sdtEndPr>
    <w:sdtContent>
      <w:p w14:paraId="1EFA7AA7" w14:textId="77777777" w:rsidR="00F26C71" w:rsidRDefault="00417743">
        <w:pPr>
          <w:pStyle w:val="Footer"/>
        </w:pPr>
        <w:r>
          <w:fldChar w:fldCharType="begin"/>
        </w:r>
        <w:r>
          <w:instrText xml:space="preserve"> PAGE   \* MERGEFORMAT </w:instrText>
        </w:r>
        <w:r>
          <w:fldChar w:fldCharType="separate"/>
        </w:r>
        <w:r>
          <w:rPr>
            <w:noProof/>
          </w:rPr>
          <w:t>2</w:t>
        </w:r>
        <w:r>
          <w:rPr>
            <w:noProof/>
          </w:rPr>
          <w:fldChar w:fldCharType="end"/>
        </w:r>
      </w:p>
    </w:sdtContent>
  </w:sdt>
  <w:p w14:paraId="0A401AD5" w14:textId="77777777" w:rsidR="00F26C71" w:rsidRDefault="00417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797E" w14:textId="77777777" w:rsidR="00441484" w:rsidRDefault="00417743">
    <w:pPr>
      <w:pStyle w:val="Footer"/>
      <w:jc w:val="right"/>
    </w:pPr>
    <w:r>
      <w:fldChar w:fldCharType="begin"/>
    </w:r>
    <w:r>
      <w:instrText xml:space="preserve"> PAGE   \* MERGEFORMAT </w:instrText>
    </w:r>
    <w:r>
      <w:fldChar w:fldCharType="separate"/>
    </w:r>
    <w:r>
      <w:rPr>
        <w:noProof/>
      </w:rPr>
      <w:t>3</w:t>
    </w:r>
    <w:r>
      <w:fldChar w:fldCharType="end"/>
    </w:r>
  </w:p>
  <w:p w14:paraId="57D6C810" w14:textId="77777777" w:rsidR="00441484" w:rsidRDefault="00417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151938"/>
      <w:docPartObj>
        <w:docPartGallery w:val="Page Numbers (Bottom of Page)"/>
        <w:docPartUnique/>
      </w:docPartObj>
    </w:sdtPr>
    <w:sdtEndPr/>
    <w:sdtContent>
      <w:p w14:paraId="780398EB" w14:textId="77777777" w:rsidR="00712890" w:rsidRDefault="00417743">
        <w:pPr>
          <w:pStyle w:val="Footer"/>
          <w:jc w:val="right"/>
        </w:pPr>
        <w:r>
          <w:fldChar w:fldCharType="begin"/>
        </w:r>
        <w:r>
          <w:instrText>PAGE   \* MERGEFORMAT</w:instrText>
        </w:r>
        <w:r>
          <w:fldChar w:fldCharType="separate"/>
        </w:r>
        <w:r>
          <w:t>2</w:t>
        </w:r>
        <w:r>
          <w:fldChar w:fldCharType="end"/>
        </w:r>
      </w:p>
    </w:sdtContent>
  </w:sdt>
  <w:p w14:paraId="3D0E6622" w14:textId="77777777" w:rsidR="00712890" w:rsidRDefault="0041774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9597" w14:textId="77777777" w:rsidR="003F77E1" w:rsidRPr="000F2FAD" w:rsidRDefault="00417743" w:rsidP="003F77E1">
    <w:pPr>
      <w:pStyle w:val="Header"/>
      <w:pBdr>
        <w:bottom w:val="single" w:sz="4" w:space="1" w:color="auto"/>
      </w:pBdr>
      <w:jc w:val="center"/>
      <w:rPr>
        <w:lang w:val="en-US"/>
      </w:rPr>
    </w:pPr>
    <w:r>
      <w:rPr>
        <w:rFonts w:eastAsia="Times New Roman"/>
        <w:sz w:val="19"/>
        <w:szCs w:val="19"/>
        <w:lang w:val="en-US"/>
      </w:rPr>
      <w:t>L</w:t>
    </w:r>
    <w:r w:rsidRPr="00E7204A">
      <w:rPr>
        <w:rFonts w:eastAsia="Times New Roman"/>
        <w:sz w:val="19"/>
        <w:szCs w:val="19"/>
      </w:rPr>
      <w:t xml:space="preserve">ast Name of </w:t>
    </w:r>
    <w:r>
      <w:rPr>
        <w:rFonts w:eastAsia="Times New Roman"/>
        <w:sz w:val="19"/>
        <w:szCs w:val="19"/>
        <w:lang w:val="en-US"/>
      </w:rPr>
      <w:t xml:space="preserve">the </w:t>
    </w:r>
    <w:r w:rsidRPr="00E7204A">
      <w:rPr>
        <w:rFonts w:eastAsia="Times New Roman"/>
        <w:sz w:val="19"/>
        <w:szCs w:val="19"/>
      </w:rPr>
      <w:t>Author(s)/Jurnal Pertahanan Vol x. No. x (2020) pp.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446E" w14:textId="77777777" w:rsidR="00637593" w:rsidRDefault="00417743" w:rsidP="00441484">
    <w:pPr>
      <w:pStyle w:val="Header"/>
      <w:pBdr>
        <w:bottom w:val="single" w:sz="4" w:space="1" w:color="auto"/>
      </w:pBdr>
      <w:jc w:val="center"/>
      <w:rPr>
        <w:rFonts w:eastAsia="Times New Roman"/>
        <w:sz w:val="19"/>
        <w:szCs w:val="19"/>
      </w:rPr>
    </w:pPr>
  </w:p>
  <w:p w14:paraId="27DE0036" w14:textId="77777777" w:rsidR="00637593" w:rsidRPr="00712890" w:rsidRDefault="00417743" w:rsidP="00712890">
    <w:pPr>
      <w:pStyle w:val="Header"/>
      <w:pBdr>
        <w:bottom w:val="single" w:sz="4" w:space="1" w:color="auto"/>
      </w:pBdr>
      <w:jc w:val="right"/>
      <w:rPr>
        <w:rFonts w:eastAsia="Times New Roman"/>
        <w:sz w:val="19"/>
        <w:szCs w:val="19"/>
        <w:lang w:val="en-US"/>
      </w:rPr>
    </w:pPr>
    <w:r>
      <w:rPr>
        <w:rFonts w:eastAsia="Times New Roman"/>
        <w:sz w:val="19"/>
        <w:szCs w:val="19"/>
        <w:lang w:val="en-US"/>
      </w:rPr>
      <w:t>Insert Your Title Here, Capitalize Each Word</w:t>
    </w:r>
  </w:p>
  <w:p w14:paraId="0ABADFB4" w14:textId="77777777" w:rsidR="00FA7E53" w:rsidRDefault="00417743" w:rsidP="00441484">
    <w:pPr>
      <w:pStyle w:val="Header"/>
      <w:pBdr>
        <w:bottom w:val="single" w:sz="4" w:space="1" w:color="auto"/>
      </w:pBdr>
      <w:jc w:val="center"/>
      <w:rPr>
        <w:rFonts w:eastAsia="Times New Roman"/>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77"/>
    <w:rsid w:val="00036077"/>
    <w:rsid w:val="0015065D"/>
    <w:rsid w:val="001B3840"/>
    <w:rsid w:val="001B6DCC"/>
    <w:rsid w:val="002B0B6D"/>
    <w:rsid w:val="002E1A88"/>
    <w:rsid w:val="003337EE"/>
    <w:rsid w:val="00417743"/>
    <w:rsid w:val="00446BFD"/>
    <w:rsid w:val="00486523"/>
    <w:rsid w:val="005B3C9F"/>
    <w:rsid w:val="005D189C"/>
    <w:rsid w:val="006035D5"/>
    <w:rsid w:val="00693A9E"/>
    <w:rsid w:val="00715B98"/>
    <w:rsid w:val="007F6163"/>
    <w:rsid w:val="008348A6"/>
    <w:rsid w:val="0091211E"/>
    <w:rsid w:val="00AC6A54"/>
    <w:rsid w:val="00BD726E"/>
    <w:rsid w:val="00C40ECF"/>
    <w:rsid w:val="00C45ACA"/>
    <w:rsid w:val="00DA4D54"/>
    <w:rsid w:val="00EA22DC"/>
    <w:rsid w:val="00F1060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7C40"/>
  <w15:chartTrackingRefBased/>
  <w15:docId w15:val="{90F8FCF0-908F-4735-A9A0-823B025D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77"/>
    <w:pPr>
      <w:spacing w:after="0" w:line="240" w:lineRule="auto"/>
      <w:ind w:firstLine="284"/>
      <w:jc w:val="both"/>
    </w:pPr>
    <w:rPr>
      <w:rFonts w:ascii="Times New Roman" w:eastAsia="MS Mincho" w:hAnsi="Times New Roman" w:cs="Times New Roman"/>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077"/>
    <w:pPr>
      <w:tabs>
        <w:tab w:val="center" w:pos="4680"/>
        <w:tab w:val="right" w:pos="9360"/>
      </w:tabs>
    </w:pPr>
  </w:style>
  <w:style w:type="character" w:customStyle="1" w:styleId="HeaderChar">
    <w:name w:val="Header Char"/>
    <w:basedOn w:val="DefaultParagraphFont"/>
    <w:link w:val="Header"/>
    <w:uiPriority w:val="99"/>
    <w:rsid w:val="00036077"/>
    <w:rPr>
      <w:rFonts w:ascii="Times New Roman" w:eastAsia="MS Mincho" w:hAnsi="Times New Roman" w:cs="Times New Roman"/>
      <w:szCs w:val="24"/>
      <w:lang w:eastAsia="ja-JP"/>
    </w:rPr>
  </w:style>
  <w:style w:type="paragraph" w:styleId="Footer">
    <w:name w:val="footer"/>
    <w:basedOn w:val="Normal"/>
    <w:link w:val="FooterChar"/>
    <w:uiPriority w:val="99"/>
    <w:unhideWhenUsed/>
    <w:rsid w:val="00036077"/>
    <w:pPr>
      <w:tabs>
        <w:tab w:val="center" w:pos="4680"/>
        <w:tab w:val="right" w:pos="9360"/>
      </w:tabs>
    </w:pPr>
  </w:style>
  <w:style w:type="character" w:customStyle="1" w:styleId="FooterChar">
    <w:name w:val="Footer Char"/>
    <w:basedOn w:val="DefaultParagraphFont"/>
    <w:link w:val="Footer"/>
    <w:uiPriority w:val="99"/>
    <w:rsid w:val="00036077"/>
    <w:rPr>
      <w:rFonts w:ascii="Times New Roman" w:eastAsia="MS Mincho" w:hAnsi="Times New Roman" w:cs="Times New Roman"/>
      <w:szCs w:val="24"/>
      <w:lang w:eastAsia="ja-JP"/>
    </w:rPr>
  </w:style>
  <w:style w:type="character" w:styleId="Hyperlink">
    <w:name w:val="Hyperlink"/>
    <w:basedOn w:val="DefaultParagraphFont"/>
    <w:uiPriority w:val="99"/>
    <w:rsid w:val="00036077"/>
    <w:rPr>
      <w:color w:val="0000FF"/>
      <w:u w:val="single"/>
    </w:rPr>
  </w:style>
  <w:style w:type="paragraph" w:customStyle="1" w:styleId="IEEEAuthorName">
    <w:name w:val="IEEE Author Name"/>
    <w:basedOn w:val="Normal"/>
    <w:next w:val="Normal"/>
    <w:rsid w:val="00036077"/>
    <w:pPr>
      <w:adjustRightInd w:val="0"/>
      <w:snapToGrid w:val="0"/>
      <w:spacing w:before="120" w:after="120"/>
      <w:ind w:firstLine="0"/>
      <w:jc w:val="center"/>
    </w:pPr>
    <w:rPr>
      <w:rFonts w:eastAsia="Times New Roman"/>
      <w:lang w:val="en-GB" w:eastAsia="en-GB"/>
    </w:rPr>
  </w:style>
  <w:style w:type="paragraph" w:customStyle="1" w:styleId="IEEEAuthorAffiliation">
    <w:name w:val="IEEE Author Affiliation"/>
    <w:basedOn w:val="Normal"/>
    <w:next w:val="Normal"/>
    <w:rsid w:val="00036077"/>
    <w:pPr>
      <w:spacing w:after="60"/>
      <w:ind w:firstLine="0"/>
      <w:jc w:val="center"/>
    </w:pPr>
    <w:rPr>
      <w:rFonts w:eastAsia="Times New Roman"/>
      <w:i/>
      <w:sz w:val="20"/>
      <w:lang w:val="en-GB" w:eastAsia="en-GB"/>
    </w:rPr>
  </w:style>
  <w:style w:type="paragraph" w:customStyle="1" w:styleId="Els-history">
    <w:name w:val="Els-history"/>
    <w:next w:val="Normal"/>
    <w:rsid w:val="00036077"/>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history-head">
    <w:name w:val="Els-history-head"/>
    <w:basedOn w:val="Els-history"/>
    <w:qFormat/>
    <w:rsid w:val="00036077"/>
    <w:rPr>
      <w:i/>
    </w:rPr>
  </w:style>
  <w:style w:type="paragraph" w:customStyle="1" w:styleId="Els-keywords">
    <w:name w:val="Els-keywords"/>
    <w:next w:val="Normal"/>
    <w:autoRedefine/>
    <w:rsid w:val="00036077"/>
    <w:pPr>
      <w:pBdr>
        <w:top w:val="single" w:sz="4" w:space="1" w:color="auto"/>
      </w:pBdr>
      <w:spacing w:after="0" w:line="230" w:lineRule="exact"/>
    </w:pPr>
    <w:rPr>
      <w:rFonts w:ascii="Times New Roman" w:eastAsia="SimSun" w:hAnsi="Times New Roman" w:cs="Times New Roman"/>
      <w:b/>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settings" Target="settings.xml"/><Relationship Id="rId16" Type="http://schemas.microsoft.com/office/2007/relationships/diagramDrawing" Target="diagrams/drawing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creativecommons.org/licenses/by-nc/4.0/)" TargetMode="External"/><Relationship Id="rId5" Type="http://schemas.openxmlformats.org/officeDocument/2006/relationships/hyperlink" Target="https://jurnal.idu.ac.id/index.php/DefenseJournal" TargetMode="External"/><Relationship Id="rId15" Type="http://schemas.openxmlformats.org/officeDocument/2006/relationships/diagramColors" Target="diagrams/colors1.xml"/><Relationship Id="rId10" Type="http://schemas.openxmlformats.org/officeDocument/2006/relationships/footer" Target="footer3.xml"/><Relationship Id="rId4" Type="http://schemas.openxmlformats.org/officeDocument/2006/relationships/image" Target="media/image1.jpeg"/><Relationship Id="rId9" Type="http://schemas.openxmlformats.org/officeDocument/2006/relationships/footer" Target="footer2.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E30B4A-FE79-4D3D-9572-8CC76E431376}" type="doc">
      <dgm:prSet loTypeId="urn:microsoft.com/office/officeart/2005/8/layout/pyramid4" loCatId="relationship" qsTypeId="urn:microsoft.com/office/officeart/2005/8/quickstyle/3d3" qsCatId="3D" csTypeId="urn:microsoft.com/office/officeart/2005/8/colors/accent1_1" csCatId="accent1" phldr="1"/>
      <dgm:spPr/>
    </dgm:pt>
    <dgm:pt modelId="{D6F374D7-CC5C-465F-838B-C7F46ADA7C95}">
      <dgm:prSet phldrT="[Text]" custT="1"/>
      <dgm:spPr>
        <a:ln w="57150"/>
      </dgm:spPr>
      <dgm:t>
        <a:bodyPr/>
        <a:lstStyle/>
        <a:p>
          <a:r>
            <a:rPr lang="id-ID" sz="1100" b="1">
              <a:latin typeface="Arial" panose="020B0604020202020204" pitchFamily="34" charset="0"/>
              <a:cs typeface="Arial" panose="020B0604020202020204" pitchFamily="34" charset="0"/>
            </a:rPr>
            <a:t>Economic Sector: Defense of Welfare</a:t>
          </a:r>
        </a:p>
      </dgm:t>
    </dgm:pt>
    <dgm:pt modelId="{9FABB090-BDE1-44BC-906E-E344D3DDBAD9}" type="parTrans" cxnId="{A12C0B81-EFCD-4BC5-B101-0956550204ED}">
      <dgm:prSet/>
      <dgm:spPr/>
      <dgm:t>
        <a:bodyPr/>
        <a:lstStyle/>
        <a:p>
          <a:endParaRPr lang="id-ID"/>
        </a:p>
      </dgm:t>
    </dgm:pt>
    <dgm:pt modelId="{E9580E07-79BD-4F9E-B04E-5366795ADE3C}" type="sibTrans" cxnId="{A12C0B81-EFCD-4BC5-B101-0956550204ED}">
      <dgm:prSet/>
      <dgm:spPr/>
      <dgm:t>
        <a:bodyPr/>
        <a:lstStyle/>
        <a:p>
          <a:endParaRPr lang="id-ID"/>
        </a:p>
      </dgm:t>
    </dgm:pt>
    <dgm:pt modelId="{56EEA3DA-78FA-4C21-8EA4-8855C9B8A66D}">
      <dgm:prSet phldrT="[Text]" custT="1"/>
      <dgm:spPr/>
      <dgm:t>
        <a:bodyPr/>
        <a:lstStyle/>
        <a:p>
          <a:r>
            <a:rPr lang="id-ID" sz="1000" b="1">
              <a:latin typeface="Arial" panose="020B0604020202020204" pitchFamily="34" charset="0"/>
              <a:cs typeface="Arial" panose="020B0604020202020204" pitchFamily="34" charset="0"/>
            </a:rPr>
            <a:t>Education Sector: Defense of Knowledge</a:t>
          </a:r>
        </a:p>
      </dgm:t>
    </dgm:pt>
    <dgm:pt modelId="{C986BBF6-9186-4027-8FA0-1BA1873CB974}" type="parTrans" cxnId="{A9DEDC4C-821B-480C-A156-2D0D17DBD442}">
      <dgm:prSet/>
      <dgm:spPr/>
      <dgm:t>
        <a:bodyPr/>
        <a:lstStyle/>
        <a:p>
          <a:endParaRPr lang="id-ID"/>
        </a:p>
      </dgm:t>
    </dgm:pt>
    <dgm:pt modelId="{815D1481-CDAA-4E55-B75C-16D91E319D03}" type="sibTrans" cxnId="{A9DEDC4C-821B-480C-A156-2D0D17DBD442}">
      <dgm:prSet/>
      <dgm:spPr/>
      <dgm:t>
        <a:bodyPr/>
        <a:lstStyle/>
        <a:p>
          <a:endParaRPr lang="id-ID"/>
        </a:p>
      </dgm:t>
    </dgm:pt>
    <dgm:pt modelId="{2875F305-055A-4061-B4A6-BF7CCD821F60}">
      <dgm:prSet phldrT="[Text]" custT="1"/>
      <dgm:spPr>
        <a:solidFill>
          <a:schemeClr val="accent2"/>
        </a:solidFill>
      </dgm:spPr>
      <dgm:t>
        <a:bodyPr/>
        <a:lstStyle/>
        <a:p>
          <a:endParaRPr lang="en-US" sz="1000" b="1"/>
        </a:p>
        <a:p>
          <a:r>
            <a:rPr lang="id-ID" sz="1000" b="1"/>
            <a:t>The Three Pillars of Muhammadiyah’s Total Defense Strategy </a:t>
          </a:r>
        </a:p>
      </dgm:t>
    </dgm:pt>
    <dgm:pt modelId="{F3B3F8A0-3E03-4E95-93B3-61EF44A03151}" type="parTrans" cxnId="{42D91ADC-AA71-4C0D-A110-834A81FD2DEC}">
      <dgm:prSet/>
      <dgm:spPr/>
      <dgm:t>
        <a:bodyPr/>
        <a:lstStyle/>
        <a:p>
          <a:endParaRPr lang="id-ID"/>
        </a:p>
      </dgm:t>
    </dgm:pt>
    <dgm:pt modelId="{06B1768B-75DC-4EDD-9857-8A71409AF211}" type="sibTrans" cxnId="{42D91ADC-AA71-4C0D-A110-834A81FD2DEC}">
      <dgm:prSet/>
      <dgm:spPr/>
      <dgm:t>
        <a:bodyPr/>
        <a:lstStyle/>
        <a:p>
          <a:endParaRPr lang="id-ID"/>
        </a:p>
      </dgm:t>
    </dgm:pt>
    <dgm:pt modelId="{53DE37CC-76FE-407E-B1A1-0830B07F3E6F}">
      <dgm:prSet custT="1"/>
      <dgm:spPr/>
      <dgm:t>
        <a:bodyPr/>
        <a:lstStyle/>
        <a:p>
          <a:r>
            <a:rPr lang="id-ID" sz="1100" b="1">
              <a:latin typeface="Arial" panose="020B0604020202020204" pitchFamily="34" charset="0"/>
              <a:cs typeface="Arial" panose="020B0604020202020204" pitchFamily="34" charset="0"/>
            </a:rPr>
            <a:t>Health Sector: Defense of Life</a:t>
          </a:r>
        </a:p>
      </dgm:t>
    </dgm:pt>
    <dgm:pt modelId="{0C0CDA55-5A57-4895-89AB-A0576DB329B7}" type="parTrans" cxnId="{EE00350F-FC2D-47DC-B805-610A5EAFA05A}">
      <dgm:prSet/>
      <dgm:spPr/>
      <dgm:t>
        <a:bodyPr/>
        <a:lstStyle/>
        <a:p>
          <a:endParaRPr lang="id-ID"/>
        </a:p>
      </dgm:t>
    </dgm:pt>
    <dgm:pt modelId="{83E319EC-72DD-499C-8D9C-1B84E1857291}" type="sibTrans" cxnId="{EE00350F-FC2D-47DC-B805-610A5EAFA05A}">
      <dgm:prSet/>
      <dgm:spPr/>
      <dgm:t>
        <a:bodyPr/>
        <a:lstStyle/>
        <a:p>
          <a:endParaRPr lang="id-ID"/>
        </a:p>
      </dgm:t>
    </dgm:pt>
    <dgm:pt modelId="{95F6CB27-8008-4B6C-938A-8ABDACDFB7D7}" type="pres">
      <dgm:prSet presAssocID="{ECE30B4A-FE79-4D3D-9572-8CC76E431376}" presName="compositeShape" presStyleCnt="0">
        <dgm:presLayoutVars>
          <dgm:chMax val="9"/>
          <dgm:dir/>
          <dgm:resizeHandles val="exact"/>
        </dgm:presLayoutVars>
      </dgm:prSet>
      <dgm:spPr/>
    </dgm:pt>
    <dgm:pt modelId="{1BDCC7C9-6929-4B39-8490-90C90E365368}" type="pres">
      <dgm:prSet presAssocID="{ECE30B4A-FE79-4D3D-9572-8CC76E431376}" presName="triangle1" presStyleLbl="node1" presStyleIdx="0" presStyleCnt="4">
        <dgm:presLayoutVars>
          <dgm:bulletEnabled val="1"/>
        </dgm:presLayoutVars>
      </dgm:prSet>
      <dgm:spPr/>
    </dgm:pt>
    <dgm:pt modelId="{EC195C9A-8682-4271-BB2B-1DF1681FF0E9}" type="pres">
      <dgm:prSet presAssocID="{ECE30B4A-FE79-4D3D-9572-8CC76E431376}" presName="triangle2" presStyleLbl="node1" presStyleIdx="1" presStyleCnt="4">
        <dgm:presLayoutVars>
          <dgm:bulletEnabled val="1"/>
        </dgm:presLayoutVars>
      </dgm:prSet>
      <dgm:spPr/>
    </dgm:pt>
    <dgm:pt modelId="{1AFD05D2-652D-45A9-A9A3-8AF6722B7039}" type="pres">
      <dgm:prSet presAssocID="{ECE30B4A-FE79-4D3D-9572-8CC76E431376}" presName="triangle3" presStyleLbl="node1" presStyleIdx="2" presStyleCnt="4">
        <dgm:presLayoutVars>
          <dgm:bulletEnabled val="1"/>
        </dgm:presLayoutVars>
      </dgm:prSet>
      <dgm:spPr/>
    </dgm:pt>
    <dgm:pt modelId="{A3CE4AE0-AFE1-4F7A-B003-1B28440B10DA}" type="pres">
      <dgm:prSet presAssocID="{ECE30B4A-FE79-4D3D-9572-8CC76E431376}" presName="triangle4" presStyleLbl="node1" presStyleIdx="3" presStyleCnt="4">
        <dgm:presLayoutVars>
          <dgm:bulletEnabled val="1"/>
        </dgm:presLayoutVars>
      </dgm:prSet>
      <dgm:spPr/>
    </dgm:pt>
  </dgm:ptLst>
  <dgm:cxnLst>
    <dgm:cxn modelId="{EE00350F-FC2D-47DC-B805-610A5EAFA05A}" srcId="{ECE30B4A-FE79-4D3D-9572-8CC76E431376}" destId="{53DE37CC-76FE-407E-B1A1-0830B07F3E6F}" srcOrd="3" destOrd="0" parTransId="{0C0CDA55-5A57-4895-89AB-A0576DB329B7}" sibTransId="{83E319EC-72DD-499C-8D9C-1B84E1857291}"/>
    <dgm:cxn modelId="{CB729434-C709-4F18-BDF1-6C8CBCC9E7E6}" type="presOf" srcId="{56EEA3DA-78FA-4C21-8EA4-8855C9B8A66D}" destId="{EC195C9A-8682-4271-BB2B-1DF1681FF0E9}" srcOrd="0" destOrd="0" presId="urn:microsoft.com/office/officeart/2005/8/layout/pyramid4"/>
    <dgm:cxn modelId="{85CB3748-223A-4A95-B217-D7766595BB27}" type="presOf" srcId="{53DE37CC-76FE-407E-B1A1-0830B07F3E6F}" destId="{A3CE4AE0-AFE1-4F7A-B003-1B28440B10DA}" srcOrd="0" destOrd="0" presId="urn:microsoft.com/office/officeart/2005/8/layout/pyramid4"/>
    <dgm:cxn modelId="{A9DEDC4C-821B-480C-A156-2D0D17DBD442}" srcId="{ECE30B4A-FE79-4D3D-9572-8CC76E431376}" destId="{56EEA3DA-78FA-4C21-8EA4-8855C9B8A66D}" srcOrd="1" destOrd="0" parTransId="{C986BBF6-9186-4027-8FA0-1BA1873CB974}" sibTransId="{815D1481-CDAA-4E55-B75C-16D91E319D03}"/>
    <dgm:cxn modelId="{A12C0B81-EFCD-4BC5-B101-0956550204ED}" srcId="{ECE30B4A-FE79-4D3D-9572-8CC76E431376}" destId="{D6F374D7-CC5C-465F-838B-C7F46ADA7C95}" srcOrd="0" destOrd="0" parTransId="{9FABB090-BDE1-44BC-906E-E344D3DDBAD9}" sibTransId="{E9580E07-79BD-4F9E-B04E-5366795ADE3C}"/>
    <dgm:cxn modelId="{FF05BCB8-9D0A-43E0-835C-03BCB53471A5}" type="presOf" srcId="{ECE30B4A-FE79-4D3D-9572-8CC76E431376}" destId="{95F6CB27-8008-4B6C-938A-8ABDACDFB7D7}" srcOrd="0" destOrd="0" presId="urn:microsoft.com/office/officeart/2005/8/layout/pyramid4"/>
    <dgm:cxn modelId="{8BA917C2-BB98-450E-A621-1BF78837DE3E}" type="presOf" srcId="{D6F374D7-CC5C-465F-838B-C7F46ADA7C95}" destId="{1BDCC7C9-6929-4B39-8490-90C90E365368}" srcOrd="0" destOrd="0" presId="urn:microsoft.com/office/officeart/2005/8/layout/pyramid4"/>
    <dgm:cxn modelId="{42D91ADC-AA71-4C0D-A110-834A81FD2DEC}" srcId="{ECE30B4A-FE79-4D3D-9572-8CC76E431376}" destId="{2875F305-055A-4061-B4A6-BF7CCD821F60}" srcOrd="2" destOrd="0" parTransId="{F3B3F8A0-3E03-4E95-93B3-61EF44A03151}" sibTransId="{06B1768B-75DC-4EDD-9857-8A71409AF211}"/>
    <dgm:cxn modelId="{1F17C1F8-3974-457B-8EBA-887FFF383A44}" type="presOf" srcId="{2875F305-055A-4061-B4A6-BF7CCD821F60}" destId="{1AFD05D2-652D-45A9-A9A3-8AF6722B7039}" srcOrd="0" destOrd="0" presId="urn:microsoft.com/office/officeart/2005/8/layout/pyramid4"/>
    <dgm:cxn modelId="{821D5BD5-D344-441F-81F6-9134CE939974}" type="presParOf" srcId="{95F6CB27-8008-4B6C-938A-8ABDACDFB7D7}" destId="{1BDCC7C9-6929-4B39-8490-90C90E365368}" srcOrd="0" destOrd="0" presId="urn:microsoft.com/office/officeart/2005/8/layout/pyramid4"/>
    <dgm:cxn modelId="{A92DE4DA-7EEC-48C8-B2BC-E413E45DD9E0}" type="presParOf" srcId="{95F6CB27-8008-4B6C-938A-8ABDACDFB7D7}" destId="{EC195C9A-8682-4271-BB2B-1DF1681FF0E9}" srcOrd="1" destOrd="0" presId="urn:microsoft.com/office/officeart/2005/8/layout/pyramid4"/>
    <dgm:cxn modelId="{AB39918A-57C2-44C9-9ECC-0EB275740448}" type="presParOf" srcId="{95F6CB27-8008-4B6C-938A-8ABDACDFB7D7}" destId="{1AFD05D2-652D-45A9-A9A3-8AF6722B7039}" srcOrd="2" destOrd="0" presId="urn:microsoft.com/office/officeart/2005/8/layout/pyramid4"/>
    <dgm:cxn modelId="{19319928-DE3D-43B6-93DA-9364ED934B04}" type="presParOf" srcId="{95F6CB27-8008-4B6C-938A-8ABDACDFB7D7}" destId="{A3CE4AE0-AFE1-4F7A-B003-1B28440B10DA}" srcOrd="3" destOrd="0" presId="urn:microsoft.com/office/officeart/2005/8/layout/pyramid4"/>
  </dgm:cxnLst>
  <dgm:bg/>
  <dgm:whole>
    <a:ln w="38100"/>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DCC7C9-6929-4B39-8490-90C90E365368}">
      <dsp:nvSpPr>
        <dsp:cNvPr id="0" name=""/>
        <dsp:cNvSpPr/>
      </dsp:nvSpPr>
      <dsp:spPr>
        <a:xfrm>
          <a:off x="1943100" y="0"/>
          <a:ext cx="1600200" cy="1600200"/>
        </a:xfrm>
        <a:prstGeom prst="triangle">
          <a:avLst/>
        </a:prstGeom>
        <a:solidFill>
          <a:schemeClr val="lt1">
            <a:hueOff val="0"/>
            <a:satOff val="0"/>
            <a:lumOff val="0"/>
            <a:alphaOff val="0"/>
          </a:schemeClr>
        </a:solidFill>
        <a:ln w="57150">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b="1" kern="1200">
              <a:latin typeface="Arial" panose="020B0604020202020204" pitchFamily="34" charset="0"/>
              <a:cs typeface="Arial" panose="020B0604020202020204" pitchFamily="34" charset="0"/>
            </a:rPr>
            <a:t>Economic Sector: Defense of Welfare</a:t>
          </a:r>
        </a:p>
      </dsp:txBody>
      <dsp:txXfrm>
        <a:off x="2343150" y="800100"/>
        <a:ext cx="800100" cy="800100"/>
      </dsp:txXfrm>
    </dsp:sp>
    <dsp:sp modelId="{EC195C9A-8682-4271-BB2B-1DF1681FF0E9}">
      <dsp:nvSpPr>
        <dsp:cNvPr id="0" name=""/>
        <dsp:cNvSpPr/>
      </dsp:nvSpPr>
      <dsp:spPr>
        <a:xfrm>
          <a:off x="1143000" y="1600200"/>
          <a:ext cx="1600200" cy="1600200"/>
        </a:xfrm>
        <a:prstGeom prst="triangl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b="1" kern="1200">
              <a:latin typeface="Arial" panose="020B0604020202020204" pitchFamily="34" charset="0"/>
              <a:cs typeface="Arial" panose="020B0604020202020204" pitchFamily="34" charset="0"/>
            </a:rPr>
            <a:t>Education Sector: Defense of Knowledge</a:t>
          </a:r>
        </a:p>
      </dsp:txBody>
      <dsp:txXfrm>
        <a:off x="1543050" y="2400300"/>
        <a:ext cx="800100" cy="800100"/>
      </dsp:txXfrm>
    </dsp:sp>
    <dsp:sp modelId="{1AFD05D2-652D-45A9-A9A3-8AF6722B7039}">
      <dsp:nvSpPr>
        <dsp:cNvPr id="0" name=""/>
        <dsp:cNvSpPr/>
      </dsp:nvSpPr>
      <dsp:spPr>
        <a:xfrm rot="10800000">
          <a:off x="1943100" y="1600200"/>
          <a:ext cx="1600200" cy="1600200"/>
        </a:xfrm>
        <a:prstGeom prst="triangle">
          <a:avLst/>
        </a:prstGeom>
        <a:solidFill>
          <a:schemeClr val="accent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en-US" sz="1000" b="1" kern="1200"/>
        </a:p>
        <a:p>
          <a:pPr marL="0" lvl="0" indent="0" algn="ctr" defTabSz="444500">
            <a:lnSpc>
              <a:spcPct val="90000"/>
            </a:lnSpc>
            <a:spcBef>
              <a:spcPct val="0"/>
            </a:spcBef>
            <a:spcAft>
              <a:spcPct val="35000"/>
            </a:spcAft>
            <a:buNone/>
          </a:pPr>
          <a:r>
            <a:rPr lang="id-ID" sz="1000" b="1" kern="1200"/>
            <a:t>The Three Pillars of Muhammadiyah’s Total Defense Strategy </a:t>
          </a:r>
        </a:p>
      </dsp:txBody>
      <dsp:txXfrm rot="10800000">
        <a:off x="2343150" y="1600200"/>
        <a:ext cx="800100" cy="800100"/>
      </dsp:txXfrm>
    </dsp:sp>
    <dsp:sp modelId="{A3CE4AE0-AFE1-4F7A-B003-1B28440B10DA}">
      <dsp:nvSpPr>
        <dsp:cNvPr id="0" name=""/>
        <dsp:cNvSpPr/>
      </dsp:nvSpPr>
      <dsp:spPr>
        <a:xfrm>
          <a:off x="2743200" y="1600200"/>
          <a:ext cx="1600200" cy="1600200"/>
        </a:xfrm>
        <a:prstGeom prst="triangl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b="1" kern="1200">
              <a:latin typeface="Arial" panose="020B0604020202020204" pitchFamily="34" charset="0"/>
              <a:cs typeface="Arial" panose="020B0604020202020204" pitchFamily="34" charset="0"/>
            </a:rPr>
            <a:t>Health Sector: Defense of Life</a:t>
          </a:r>
        </a:p>
      </dsp:txBody>
      <dsp:txXfrm>
        <a:off x="3143250" y="2400300"/>
        <a:ext cx="800100" cy="8001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5261</Words>
  <Characters>29993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2025-10-07T07:30:00Z</dcterms:created>
  <dcterms:modified xsi:type="dcterms:W3CDTF">2025-10-07T09:12:00Z</dcterms:modified>
</cp:coreProperties>
</file>